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480"/>
      </w:pPr>
      <w:r>
        <w:t xml:space="preserve"/>
      </w:r>
    </w:p>
    <w:p>
      <w:pPr>
        <w:spacing w:after="60" w:before="0"/>
        <w:jc w:val="center"/>
      </w:pPr>
      <w:r>
        <w:rPr>
          <w:rFonts w:ascii="Arial" w:cs="Arial" w:eastAsia="Arial" w:hAnsi="Arial"/>
          <w:b/>
          <w:bCs/>
          <w:color w:val="27500A"/>
          <w:sz w:val="52"/>
          <w:szCs w:val="52"/>
        </w:rPr>
        <w:t xml:space="preserve">HEALTH HORIZON CONVERSATION TOOL</w:t>
      </w:r>
    </w:p>
    <w:p>
      <w:pPr>
        <w:spacing w:after="60" w:before="0"/>
        <w:jc w:val="center"/>
      </w:pPr>
      <w:r>
        <w:rPr>
          <w:rFonts w:ascii="Arial" w:cs="Arial" w:eastAsia="Arial" w:hAnsi="Arial"/>
          <w:color w:val="639922"/>
          <w:sz w:val="36"/>
          <w:szCs w:val="36"/>
        </w:rPr>
        <w:t xml:space="preserve">Inaugural Trial Study Protocol</w:t>
      </w:r>
    </w:p>
    <w:p>
      <w:pPr>
        <w:spacing w:after="480" w:before="0"/>
        <w:jc w:val="center"/>
      </w:pPr>
      <w:r>
        <w:rPr>
          <w:rFonts w:ascii="Arial" w:cs="Arial" w:eastAsia="Arial" w:hAnsi="Arial"/>
          <w:color w:val="444441"/>
          <w:sz w:val="24"/>
          <w:szCs w:val="24"/>
        </w:rPr>
        <w:t xml:space="preserve">Version 1.0  |  2025</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639922" w:sz="1"/>
              <w:left w:val="single" w:color="639922" w:sz="1"/>
              <w:bottom w:val="single" w:color="639922" w:sz="1"/>
              <w:right w:val="single" w:color="639922" w:sz="1"/>
            </w:tcBorders>
            <w:shd w:fill="639922" w:val="clear"/>
            <w:tcMar>
              <w:top w:type="dxa" w:w="80"/>
              <w:left w:type="dxa" w:w="140"/>
              <w:bottom w:type="dxa" w:w="80"/>
              <w:right w:type="dxa" w:w="140"/>
            </w:tcMar>
            <w:vAlign w:val="center"/>
          </w:tcPr>
          <w:p>
            <w:r>
              <w:rPr>
                <w:rFonts w:ascii="Arial" w:cs="Arial" w:eastAsia="Arial" w:hAnsi="Arial"/>
                <w:b/>
                <w:bCs/>
                <w:color w:val="FFFFFF"/>
                <w:sz w:val="20"/>
                <w:szCs w:val="20"/>
              </w:rPr>
              <w:t xml:space="preserve">Study title</w:t>
            </w:r>
          </w:p>
        </w:tc>
        <w:tc>
          <w:tcPr>
            <w:tcW w:type="dxa" w:w="7160"/>
            <w:tcBorders>
              <w:top w:val="single" w:color="639922" w:sz="1"/>
              <w:left w:val="single" w:color="639922" w:sz="1"/>
              <w:bottom w:val="single" w:color="639922" w:sz="1"/>
              <w:right w:val="single" w:color="639922" w:sz="1"/>
            </w:tcBorders>
            <w:shd w:fill="EAF3DE" w:val="clear"/>
            <w:tcMar>
              <w:top w:type="dxa" w:w="80"/>
              <w:left w:type="dxa" w:w="140"/>
              <w:bottom w:type="dxa" w:w="80"/>
              <w:right w:type="dxa" w:w="140"/>
            </w:tcMar>
          </w:tcPr>
          <w:p>
            <w:r>
              <w:rPr>
                <w:rFonts w:ascii="Arial" w:cs="Arial" w:eastAsia="Arial" w:hAnsi="Arial"/>
                <w:color w:val="1a1a18"/>
                <w:sz w:val="20"/>
                <w:szCs w:val="20"/>
              </w:rPr>
              <w:t xml:space="preserve">Evaluating the Health Horizon Conversation Tool: impact on patient activation and clinical communication quality in primary care consultations</w:t>
            </w:r>
          </w:p>
        </w:tc>
      </w:tr>
    </w:tbl>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639922" w:sz="1"/>
              <w:left w:val="single" w:color="639922" w:sz="1"/>
              <w:bottom w:val="single" w:color="639922" w:sz="1"/>
              <w:right w:val="single" w:color="639922" w:sz="1"/>
            </w:tcBorders>
            <w:shd w:fill="639922" w:val="clear"/>
            <w:tcMar>
              <w:top w:type="dxa" w:w="80"/>
              <w:left w:type="dxa" w:w="140"/>
              <w:bottom w:type="dxa" w:w="80"/>
              <w:right w:type="dxa" w:w="140"/>
            </w:tcMar>
            <w:vAlign w:val="center"/>
          </w:tcPr>
          <w:p>
            <w:r>
              <w:rPr>
                <w:rFonts w:ascii="Arial" w:cs="Arial" w:eastAsia="Arial" w:hAnsi="Arial"/>
                <w:b/>
                <w:bCs/>
                <w:color w:val="FFFFFF"/>
                <w:sz w:val="20"/>
                <w:szCs w:val="20"/>
              </w:rPr>
              <w:t xml:space="preserve">Study design</w:t>
            </w:r>
          </w:p>
        </w:tc>
        <w:tc>
          <w:tcPr>
            <w:tcW w:type="dxa" w:w="7160"/>
            <w:tcBorders>
              <w:top w:val="single" w:color="639922" w:sz="1"/>
              <w:left w:val="single" w:color="639922" w:sz="1"/>
              <w:bottom w:val="single" w:color="639922" w:sz="1"/>
              <w:right w:val="single" w:color="639922" w:sz="1"/>
            </w:tcBorders>
            <w:shd w:fill="EAF3DE" w:val="clear"/>
            <w:tcMar>
              <w:top w:type="dxa" w:w="80"/>
              <w:left w:type="dxa" w:w="140"/>
              <w:bottom w:type="dxa" w:w="80"/>
              <w:right w:type="dxa" w:w="140"/>
            </w:tcMar>
          </w:tcPr>
          <w:p>
            <w:r>
              <w:rPr>
                <w:rFonts w:ascii="Arial" w:cs="Arial" w:eastAsia="Arial" w:hAnsi="Arial"/>
                <w:color w:val="1a1a18"/>
                <w:sz w:val="20"/>
                <w:szCs w:val="20"/>
              </w:rPr>
              <w:t xml:space="preserve">Pragmatic stepped-wedge cluster trial with before-and-after comparison within sites</w:t>
            </w:r>
          </w:p>
        </w:tc>
      </w:tr>
    </w:tbl>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639922" w:sz="1"/>
              <w:left w:val="single" w:color="639922" w:sz="1"/>
              <w:bottom w:val="single" w:color="639922" w:sz="1"/>
              <w:right w:val="single" w:color="639922" w:sz="1"/>
            </w:tcBorders>
            <w:shd w:fill="639922" w:val="clear"/>
            <w:tcMar>
              <w:top w:type="dxa" w:w="80"/>
              <w:left w:type="dxa" w:w="140"/>
              <w:bottom w:type="dxa" w:w="80"/>
              <w:right w:type="dxa" w:w="140"/>
            </w:tcMar>
            <w:vAlign w:val="center"/>
          </w:tcPr>
          <w:p>
            <w:r>
              <w:rPr>
                <w:rFonts w:ascii="Arial" w:cs="Arial" w:eastAsia="Arial" w:hAnsi="Arial"/>
                <w:b/>
                <w:bCs/>
                <w:color w:val="FFFFFF"/>
                <w:sz w:val="20"/>
                <w:szCs w:val="20"/>
              </w:rPr>
              <w:t xml:space="preserve">Target sites</w:t>
            </w:r>
          </w:p>
        </w:tc>
        <w:tc>
          <w:tcPr>
            <w:tcW w:type="dxa" w:w="7160"/>
            <w:tcBorders>
              <w:top w:val="single" w:color="639922" w:sz="1"/>
              <w:left w:val="single" w:color="639922" w:sz="1"/>
              <w:bottom w:val="single" w:color="639922" w:sz="1"/>
              <w:right w:val="single" w:color="639922" w:sz="1"/>
            </w:tcBorders>
            <w:shd w:fill="EAF3DE" w:val="clear"/>
            <w:tcMar>
              <w:top w:type="dxa" w:w="80"/>
              <w:left w:type="dxa" w:w="140"/>
              <w:bottom w:type="dxa" w:w="80"/>
              <w:right w:type="dxa" w:w="140"/>
            </w:tcMar>
          </w:tcPr>
          <w:p>
            <w:r>
              <w:rPr>
                <w:rFonts w:ascii="Arial" w:cs="Arial" w:eastAsia="Arial" w:hAnsi="Arial"/>
                <w:color w:val="1a1a18"/>
                <w:sz w:val="20"/>
                <w:szCs w:val="20"/>
              </w:rPr>
              <w:t xml:space="preserve">8–15 primary care clinics, preventive health practices, or allied health services</w:t>
            </w:r>
          </w:p>
        </w:tc>
      </w:tr>
    </w:tbl>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639922" w:sz="1"/>
              <w:left w:val="single" w:color="639922" w:sz="1"/>
              <w:bottom w:val="single" w:color="639922" w:sz="1"/>
              <w:right w:val="single" w:color="639922" w:sz="1"/>
            </w:tcBorders>
            <w:shd w:fill="639922" w:val="clear"/>
            <w:tcMar>
              <w:top w:type="dxa" w:w="80"/>
              <w:left w:type="dxa" w:w="140"/>
              <w:bottom w:type="dxa" w:w="80"/>
              <w:right w:type="dxa" w:w="140"/>
            </w:tcMar>
            <w:vAlign w:val="center"/>
          </w:tcPr>
          <w:p>
            <w:r>
              <w:rPr>
                <w:rFonts w:ascii="Arial" w:cs="Arial" w:eastAsia="Arial" w:hAnsi="Arial"/>
                <w:b/>
                <w:bCs/>
                <w:color w:val="FFFFFF"/>
                <w:sz w:val="20"/>
                <w:szCs w:val="20"/>
              </w:rPr>
              <w:t xml:space="preserve">Study duration</w:t>
            </w:r>
          </w:p>
        </w:tc>
        <w:tc>
          <w:tcPr>
            <w:tcW w:type="dxa" w:w="7160"/>
            <w:tcBorders>
              <w:top w:val="single" w:color="639922" w:sz="1"/>
              <w:left w:val="single" w:color="639922" w:sz="1"/>
              <w:bottom w:val="single" w:color="639922" w:sz="1"/>
              <w:right w:val="single" w:color="639922" w:sz="1"/>
            </w:tcBorders>
            <w:shd w:fill="EAF3DE" w:val="clear"/>
            <w:tcMar>
              <w:top w:type="dxa" w:w="80"/>
              <w:left w:type="dxa" w:w="140"/>
              <w:bottom w:type="dxa" w:w="80"/>
              <w:right w:type="dxa" w:w="140"/>
            </w:tcMar>
          </w:tcPr>
          <w:p>
            <w:r>
              <w:rPr>
                <w:rFonts w:ascii="Arial" w:cs="Arial" w:eastAsia="Arial" w:hAnsi="Arial"/>
                <w:color w:val="1a1a18"/>
                <w:sz w:val="20"/>
                <w:szCs w:val="20"/>
              </w:rPr>
              <w:t xml:space="preserve">8 months total: 2-month run-in, 6-month active intervention period</w:t>
            </w:r>
          </w:p>
        </w:tc>
      </w:tr>
    </w:tbl>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639922" w:sz="1"/>
              <w:left w:val="single" w:color="639922" w:sz="1"/>
              <w:bottom w:val="single" w:color="639922" w:sz="1"/>
              <w:right w:val="single" w:color="639922" w:sz="1"/>
            </w:tcBorders>
            <w:shd w:fill="639922" w:val="clear"/>
            <w:tcMar>
              <w:top w:type="dxa" w:w="80"/>
              <w:left w:type="dxa" w:w="140"/>
              <w:bottom w:type="dxa" w:w="80"/>
              <w:right w:type="dxa" w:w="140"/>
            </w:tcMar>
            <w:vAlign w:val="center"/>
          </w:tcPr>
          <w:p>
            <w:r>
              <w:rPr>
                <w:rFonts w:ascii="Arial" w:cs="Arial" w:eastAsia="Arial" w:hAnsi="Arial"/>
                <w:b/>
                <w:bCs/>
                <w:color w:val="FFFFFF"/>
                <w:sz w:val="20"/>
                <w:szCs w:val="20"/>
              </w:rPr>
              <w:t xml:space="preserve">Primary outcome</w:t>
            </w:r>
          </w:p>
        </w:tc>
        <w:tc>
          <w:tcPr>
            <w:tcW w:type="dxa" w:w="7160"/>
            <w:tcBorders>
              <w:top w:val="single" w:color="639922" w:sz="1"/>
              <w:left w:val="single" w:color="639922" w:sz="1"/>
              <w:bottom w:val="single" w:color="639922" w:sz="1"/>
              <w:right w:val="single" w:color="639922" w:sz="1"/>
            </w:tcBorders>
            <w:shd w:fill="EAF3DE" w:val="clear"/>
            <w:tcMar>
              <w:top w:type="dxa" w:w="80"/>
              <w:left w:type="dxa" w:w="140"/>
              <w:bottom w:type="dxa" w:w="80"/>
              <w:right w:type="dxa" w:w="140"/>
            </w:tcMar>
          </w:tcPr>
          <w:p>
            <w:r>
              <w:rPr>
                <w:rFonts w:ascii="Arial" w:cs="Arial" w:eastAsia="Arial" w:hAnsi="Arial"/>
                <w:color w:val="1a1a18"/>
                <w:sz w:val="20"/>
                <w:szCs w:val="20"/>
              </w:rPr>
              <w:t xml:space="preserve">Patient Activation Measure (PAM-13) score at end of consultation</w:t>
            </w:r>
          </w:p>
        </w:tc>
      </w:tr>
    </w:tbl>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639922" w:sz="1"/>
              <w:left w:val="single" w:color="639922" w:sz="1"/>
              <w:bottom w:val="single" w:color="639922" w:sz="1"/>
              <w:right w:val="single" w:color="639922" w:sz="1"/>
            </w:tcBorders>
            <w:shd w:fill="639922" w:val="clear"/>
            <w:tcMar>
              <w:top w:type="dxa" w:w="80"/>
              <w:left w:type="dxa" w:w="140"/>
              <w:bottom w:type="dxa" w:w="80"/>
              <w:right w:type="dxa" w:w="140"/>
            </w:tcMar>
            <w:vAlign w:val="center"/>
          </w:tcPr>
          <w:p>
            <w:r>
              <w:rPr>
                <w:rFonts w:ascii="Arial" w:cs="Arial" w:eastAsia="Arial" w:hAnsi="Arial"/>
                <w:b/>
                <w:bCs/>
                <w:color w:val="FFFFFF"/>
                <w:sz w:val="20"/>
                <w:szCs w:val="20"/>
              </w:rPr>
              <w:t xml:space="preserve">Ethics pathway</w:t>
            </w:r>
          </w:p>
        </w:tc>
        <w:tc>
          <w:tcPr>
            <w:tcW w:type="dxa" w:w="7160"/>
            <w:tcBorders>
              <w:top w:val="single" w:color="639922" w:sz="1"/>
              <w:left w:val="single" w:color="639922" w:sz="1"/>
              <w:bottom w:val="single" w:color="639922" w:sz="1"/>
              <w:right w:val="single" w:color="639922" w:sz="1"/>
            </w:tcBorders>
            <w:shd w:fill="EAF3DE" w:val="clear"/>
            <w:tcMar>
              <w:top w:type="dxa" w:w="80"/>
              <w:left w:type="dxa" w:w="140"/>
              <w:bottom w:type="dxa" w:w="80"/>
              <w:right w:type="dxa" w:w="140"/>
            </w:tcMar>
          </w:tcPr>
          <w:p>
            <w:r>
              <w:rPr>
                <w:rFonts w:ascii="Arial" w:cs="Arial" w:eastAsia="Arial" w:hAnsi="Arial"/>
                <w:color w:val="1a1a18"/>
                <w:sz w:val="20"/>
                <w:szCs w:val="20"/>
              </w:rPr>
              <w:t xml:space="preserve">Quality improvement / expedited review (no change to clinical care)</w:t>
            </w:r>
          </w:p>
        </w:tc>
      </w:tr>
    </w:tbl>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639922" w:sz="1"/>
              <w:left w:val="single" w:color="639922" w:sz="1"/>
              <w:bottom w:val="single" w:color="639922" w:sz="1"/>
              <w:right w:val="single" w:color="639922" w:sz="1"/>
            </w:tcBorders>
            <w:shd w:fill="639922" w:val="clear"/>
            <w:tcMar>
              <w:top w:type="dxa" w:w="80"/>
              <w:left w:type="dxa" w:w="140"/>
              <w:bottom w:type="dxa" w:w="80"/>
              <w:right w:type="dxa" w:w="140"/>
            </w:tcMar>
            <w:vAlign w:val="center"/>
          </w:tcPr>
          <w:p>
            <w:r>
              <w:rPr>
                <w:rFonts w:ascii="Arial" w:cs="Arial" w:eastAsia="Arial" w:hAnsi="Arial"/>
                <w:b/>
                <w:bCs/>
                <w:color w:val="FFFFFF"/>
                <w:sz w:val="20"/>
                <w:szCs w:val="20"/>
              </w:rPr>
              <w:t xml:space="preserve">Status</w:t>
            </w:r>
          </w:p>
        </w:tc>
        <w:tc>
          <w:tcPr>
            <w:tcW w:type="dxa" w:w="7160"/>
            <w:tcBorders>
              <w:top w:val="single" w:color="639922" w:sz="1"/>
              <w:left w:val="single" w:color="639922" w:sz="1"/>
              <w:bottom w:val="single" w:color="639922" w:sz="1"/>
              <w:right w:val="single" w:color="639922" w:sz="1"/>
            </w:tcBorders>
            <w:shd w:fill="E1F5EE" w:val="clear"/>
            <w:tcMar>
              <w:top w:type="dxa" w:w="80"/>
              <w:left w:type="dxa" w:w="140"/>
              <w:bottom w:type="dxa" w:w="80"/>
              <w:right w:type="dxa" w:w="140"/>
            </w:tcMar>
          </w:tcPr>
          <w:p>
            <w:r>
              <w:rPr>
                <w:rFonts w:ascii="Arial" w:cs="Arial" w:eastAsia="Arial" w:hAnsi="Arial"/>
                <w:color w:val="1a1a18"/>
                <w:sz w:val="20"/>
                <w:szCs w:val="20"/>
              </w:rPr>
              <w:t xml:space="preserve">Recruiting inaugural trial partners</w:t>
            </w:r>
          </w:p>
        </w:tc>
      </w:tr>
    </w:tbl>
    <w:p>
      <w:pPr>
        <w:spacing w:after="0" w:before="240"/>
      </w:pPr>
      <w:r>
        <w:t xml:space="preserve"/>
      </w:r>
    </w:p>
    <w:p>
      <w:pPr>
        <w:jc w:val="center"/>
      </w:pPr>
      <w:r>
        <w:rPr>
          <w:rFonts w:ascii="Arial" w:cs="Arial" w:eastAsia="Arial" w:hAnsi="Arial"/>
          <w:i/>
          <w:iCs/>
          <w:color w:val="444441"/>
          <w:sz w:val="20"/>
          <w:szCs w:val="20"/>
        </w:rPr>
        <w:t xml:space="preserve">Expressions of interest: aaron@healthhorizon.io</w:t>
      </w:r>
    </w:p>
    <w:p>
      <w:r>
        <w:br w:type="page"/>
      </w:r>
    </w:p>
    <w:p>
      <w:pPr>
        <w:pStyle w:val="Heading1"/>
        <w:pBdr>
          <w:bottom w:val="single" w:color="639922" w:sz="4" w:space="4"/>
        </w:pBdr>
        <w:spacing w:after="120" w:before="360"/>
      </w:pPr>
      <w:r>
        <w:rPr>
          <w:rFonts w:ascii="Arial" w:cs="Arial" w:eastAsia="Arial" w:hAnsi="Arial"/>
          <w:b/>
          <w:bCs/>
          <w:color w:val="27500A"/>
          <w:sz w:val="28"/>
          <w:szCs w:val="28"/>
        </w:rPr>
        <w:t xml:space="preserve">1. Background and rationale</w:t>
      </w:r>
    </w:p>
    <w:p>
      <w:pPr>
        <w:spacing w:after="100" w:before="60"/>
      </w:pPr>
      <w:r>
        <w:rPr>
          <w:rFonts w:ascii="Arial" w:cs="Arial" w:eastAsia="Arial" w:hAnsi="Arial"/>
          <w:color w:val="1a1a18"/>
          <w:sz w:val="22"/>
          <w:szCs w:val="22"/>
        </w:rPr>
        <w:t xml:space="preserve">Patients consistently underestimate both the modifiability of their life expectancy and the compounding value of each remaining year of life. Conventional clinical risk communication — listing risk factors, citing statistics, advising lifestyle change — is well-intentioned but rarely produces sustained behaviour change. It tends to frame conversations around what is wrong rather than what is possible.</w:t>
      </w:r>
    </w:p>
    <w:p>
      <w:pPr>
        <w:spacing w:after="0" w:before="60"/>
      </w:pPr>
      <w:r>
        <w:t xml:space="preserve"/>
      </w:r>
    </w:p>
    <w:p>
      <w:pPr>
        <w:spacing w:after="100" w:before="60"/>
      </w:pPr>
      <w:r>
        <w:rPr>
          <w:rFonts w:ascii="Arial" w:cs="Arial" w:eastAsia="Arial" w:hAnsi="Arial"/>
          <w:color w:val="1a1a18"/>
          <w:sz w:val="22"/>
          <w:szCs w:val="22"/>
        </w:rPr>
        <w:t xml:space="preserve">The Health Horizon Conversation Tool is an interactive, browser-based clinical aid designed to be used collaboratively during consultations. It translates population-level epidemiological data into a patient's personalised life expectancy estimate in real time, visualising two distinct paths: a current path based on existing risk factors, and an improved path reflecting the gains achievable through lifestyle and medical interventions.</w:t>
      </w:r>
    </w:p>
    <w:p>
      <w:pPr>
        <w:spacing w:after="0" w:before="60"/>
      </w:pPr>
      <w:r>
        <w:t xml:space="preserve"/>
      </w:r>
    </w:p>
    <w:p>
      <w:pPr>
        <w:spacing w:after="100" w:before="60"/>
      </w:pPr>
      <w:r>
        <w:rPr>
          <w:rFonts w:ascii="Arial" w:cs="Arial" w:eastAsia="Arial" w:hAnsi="Arial"/>
          <w:color w:val="1a1a18"/>
          <w:sz w:val="22"/>
          <w:szCs w:val="22"/>
        </w:rPr>
        <w:t xml:space="preserve">The tool is intentionally balanced: ten risk factors and ten protective factors are presented with equal visual weight, consistent with motivational interviewing principles. This framing positions the conversation around opportunity rather than deficit — a distinction with meaningful implications for patient engagement and behaviour change intent.</w:t>
      </w:r>
    </w:p>
    <w:p>
      <w:pPr>
        <w:spacing w:after="0" w:before="60"/>
      </w:pPr>
      <w:r>
        <w:t xml:space="preserve"/>
      </w:r>
    </w:p>
    <w:p>
      <w:pPr>
        <w:spacing w:after="100" w:before="60"/>
      </w:pPr>
      <w:r>
        <w:rPr>
          <w:rFonts w:ascii="Arial" w:cs="Arial" w:eastAsia="Arial" w:hAnsi="Arial"/>
          <w:color w:val="1a1a18"/>
          <w:sz w:val="22"/>
          <w:szCs w:val="22"/>
        </w:rPr>
        <w:t xml:space="preserve">The tool also introduces the concept of dynamic yearly importance: as years remaining decrease, each year represents a larger share of remaining life. This creates urgency without alarm and is designed to make the stakes of health decisions personally tangible in a way that abstract statistics cannot.</w:t>
      </w:r>
    </w:p>
    <w:p>
      <w:pPr>
        <w:spacing w:after="0" w:before="60"/>
      </w:pPr>
      <w:r>
        <w:t xml:space="preserve"/>
      </w:r>
    </w:p>
    <w:p>
      <w:pPr>
        <w:spacing w:after="100" w:before="60"/>
      </w:pPr>
      <w:r>
        <w:rPr>
          <w:rFonts w:ascii="Arial" w:cs="Arial" w:eastAsia="Arial" w:hAnsi="Arial"/>
          <w:color w:val="1a1a18"/>
          <w:sz w:val="22"/>
          <w:szCs w:val="22"/>
        </w:rPr>
        <w:t xml:space="preserve">To date, no published evidence exists on the clinical impact of this tool. This trial study is designed to generate that evidence, establish the tool's effect on patient activation, and document the clinician experience — creating the foundation for wider dissemination and future research.</w:t>
      </w:r>
    </w:p>
    <w:p>
      <w:pPr>
        <w:spacing w:after="0" w:before="120"/>
      </w:pPr>
      <w:r>
        <w:t xml:space="preserve"/>
      </w:r>
    </w:p>
    <w:p>
      <w:pPr>
        <w:pStyle w:val="Heading1"/>
        <w:pBdr>
          <w:bottom w:val="single" w:color="639922" w:sz="4" w:space="4"/>
        </w:pBdr>
        <w:spacing w:after="120" w:before="360"/>
      </w:pPr>
      <w:r>
        <w:rPr>
          <w:rFonts w:ascii="Arial" w:cs="Arial" w:eastAsia="Arial" w:hAnsi="Arial"/>
          <w:b/>
          <w:bCs/>
          <w:color w:val="27500A"/>
          <w:sz w:val="28"/>
          <w:szCs w:val="28"/>
        </w:rPr>
        <w:t xml:space="preserve">2. Study objectives</w:t>
      </w:r>
    </w:p>
    <w:p>
      <w:pPr>
        <w:pStyle w:val="Heading2"/>
        <w:spacing w:after="80" w:before="240"/>
      </w:pPr>
      <w:r>
        <w:rPr>
          <w:rFonts w:ascii="Arial" w:cs="Arial" w:eastAsia="Arial" w:hAnsi="Arial"/>
          <w:b/>
          <w:bCs/>
          <w:color w:val="27500A"/>
          <w:sz w:val="24"/>
          <w:szCs w:val="24"/>
        </w:rPr>
        <w:t xml:space="preserve">2.1 Primary objective</w:t>
      </w:r>
    </w:p>
    <w:p>
      <w:pPr>
        <w:spacing w:after="100" w:before="60"/>
      </w:pPr>
      <w:r>
        <w:rPr>
          <w:rFonts w:ascii="Arial" w:cs="Arial" w:eastAsia="Arial" w:hAnsi="Arial"/>
          <w:color w:val="1a1a18"/>
          <w:sz w:val="22"/>
          <w:szCs w:val="22"/>
        </w:rPr>
        <w:t xml:space="preserve">To determine whether use of the Health Horizon Conversation Tool during routine clinical consultations is associated with a statistically significant improvement in patient activation scores (PAM-13) compared to consultations without the tool.</w:t>
      </w:r>
    </w:p>
    <w:p>
      <w:pPr>
        <w:pStyle w:val="Heading2"/>
        <w:spacing w:after="80" w:before="240"/>
      </w:pPr>
      <w:r>
        <w:rPr>
          <w:rFonts w:ascii="Arial" w:cs="Arial" w:eastAsia="Arial" w:hAnsi="Arial"/>
          <w:b/>
          <w:bCs/>
          <w:color w:val="27500A"/>
          <w:sz w:val="24"/>
          <w:szCs w:val="24"/>
        </w:rPr>
        <w:t xml:space="preserve">2.2 Secondary objectives</w:t>
      </w:r>
    </w:p>
    <w:p>
      <w:pPr>
        <w:pStyle w:val="ListParagraph"/>
        <w:numPr>
          <w:ilvl w:val="0"/>
          <w:numId w:val="2"/>
        </w:numPr>
        <w:spacing w:after="40" w:before="40"/>
      </w:pPr>
      <w:r>
        <w:rPr>
          <w:rFonts w:ascii="Arial" w:cs="Arial" w:eastAsia="Arial" w:hAnsi="Arial"/>
          <w:b w:val="false"/>
          <w:bCs w:val="false"/>
          <w:color w:val="1a1a18"/>
          <w:sz w:val="22"/>
          <w:szCs w:val="22"/>
        </w:rPr>
        <w:t xml:space="preserve">To assess whether the tool changes the frequency and depth of lifestyle factor discussion during consultations</w:t>
      </w:r>
    </w:p>
    <w:p>
      <w:pPr>
        <w:pStyle w:val="ListParagraph"/>
        <w:numPr>
          <w:ilvl w:val="0"/>
          <w:numId w:val="2"/>
        </w:numPr>
        <w:spacing w:after="40" w:before="40"/>
      </w:pPr>
      <w:r>
        <w:rPr>
          <w:rFonts w:ascii="Arial" w:cs="Arial" w:eastAsia="Arial" w:hAnsi="Arial"/>
          <w:b w:val="false"/>
          <w:bCs w:val="false"/>
          <w:color w:val="1a1a18"/>
          <w:sz w:val="22"/>
          <w:szCs w:val="22"/>
        </w:rPr>
        <w:t xml:space="preserve">To evaluate patient recall of key health messages 48–72 hours after a tool-assisted consultation</w:t>
      </w:r>
    </w:p>
    <w:p>
      <w:pPr>
        <w:pStyle w:val="ListParagraph"/>
        <w:numPr>
          <w:ilvl w:val="0"/>
          <w:numId w:val="2"/>
        </w:numPr>
        <w:spacing w:after="40" w:before="40"/>
      </w:pPr>
      <w:r>
        <w:rPr>
          <w:rFonts w:ascii="Arial" w:cs="Arial" w:eastAsia="Arial" w:hAnsi="Arial"/>
          <w:b w:val="false"/>
          <w:bCs w:val="false"/>
          <w:color w:val="1a1a18"/>
          <w:sz w:val="22"/>
          <w:szCs w:val="22"/>
        </w:rPr>
        <w:t xml:space="preserve">To document clinician experience, perceived utility, and time impact</w:t>
      </w:r>
    </w:p>
    <w:p>
      <w:pPr>
        <w:pStyle w:val="ListParagraph"/>
        <w:numPr>
          <w:ilvl w:val="0"/>
          <w:numId w:val="2"/>
        </w:numPr>
        <w:spacing w:after="40" w:before="40"/>
      </w:pPr>
      <w:r>
        <w:rPr>
          <w:rFonts w:ascii="Arial" w:cs="Arial" w:eastAsia="Arial" w:hAnsi="Arial"/>
          <w:b w:val="false"/>
          <w:bCs w:val="false"/>
          <w:color w:val="1a1a18"/>
          <w:sz w:val="22"/>
          <w:szCs w:val="22"/>
        </w:rPr>
        <w:t xml:space="preserve">To explore whether the tool is associated with increased patient goal-setting and self-reported intention to change behaviour</w:t>
      </w:r>
    </w:p>
    <w:p>
      <w:pPr>
        <w:pStyle w:val="ListParagraph"/>
        <w:numPr>
          <w:ilvl w:val="0"/>
          <w:numId w:val="2"/>
        </w:numPr>
        <w:spacing w:after="40" w:before="40"/>
      </w:pPr>
      <w:r>
        <w:rPr>
          <w:rFonts w:ascii="Arial" w:cs="Arial" w:eastAsia="Arial" w:hAnsi="Arial"/>
          <w:b w:val="false"/>
          <w:bCs w:val="false"/>
          <w:color w:val="1a1a18"/>
          <w:sz w:val="22"/>
          <w:szCs w:val="22"/>
        </w:rPr>
        <w:t xml:space="preserve">To identify implementation barriers and facilitators across different practice settings</w:t>
      </w:r>
    </w:p>
    <w:p>
      <w:pPr>
        <w:spacing w:after="0" w:before="120"/>
      </w:pPr>
      <w:r>
        <w:t xml:space="preserve"/>
      </w:r>
    </w:p>
    <w:p>
      <w:pPr>
        <w:pStyle w:val="Heading1"/>
        <w:pBdr>
          <w:bottom w:val="single" w:color="639922" w:sz="4" w:space="4"/>
        </w:pBdr>
        <w:spacing w:after="120" w:before="360"/>
      </w:pPr>
      <w:r>
        <w:rPr>
          <w:rFonts w:ascii="Arial" w:cs="Arial" w:eastAsia="Arial" w:hAnsi="Arial"/>
          <w:b/>
          <w:bCs/>
          <w:color w:val="27500A"/>
          <w:sz w:val="28"/>
          <w:szCs w:val="28"/>
        </w:rPr>
        <w:t xml:space="preserve">3. Study design</w:t>
      </w:r>
    </w:p>
    <w:p>
      <w:pPr>
        <w:spacing w:after="100" w:before="60"/>
      </w:pPr>
      <w:r>
        <w:rPr>
          <w:rFonts w:ascii="Arial" w:cs="Arial" w:eastAsia="Arial" w:hAnsi="Arial"/>
          <w:color w:val="1a1a18"/>
          <w:sz w:val="22"/>
          <w:szCs w:val="22"/>
        </w:rPr>
        <w:t xml:space="preserve">This is a pragmatic stepped-wedge cluster randomised trial. Participating clinics are the unit of randomisation (clusters). All clinics begin in a control (no-tool) phase and are introduced to the tool at staggered time points across the study period. Every clinic eventually receives the intervention, which facilitates recruitment and is ethically important when the intervention is believed to be beneficial.</w:t>
      </w:r>
    </w:p>
    <w:p>
      <w:pPr>
        <w:spacing w:after="0" w:before="60"/>
      </w:pPr>
      <w:r>
        <w:t xml:space="preserve"/>
      </w:r>
    </w:p>
    <w:p>
      <w:pPr>
        <w:spacing w:after="100" w:before="60"/>
      </w:pPr>
      <w:r>
        <w:rPr>
          <w:rFonts w:ascii="Arial" w:cs="Arial" w:eastAsia="Arial" w:hAnsi="Arial"/>
          <w:color w:val="1a1a18"/>
          <w:sz w:val="22"/>
          <w:szCs w:val="22"/>
        </w:rPr>
        <w:t xml:space="preserve">A secondary before-and-after analysis will be conducted within each clinic, comparing consultation outcomes in the pre-tool phase to those in the active tool phase. This within-clinic comparison controls for site-level confounding.</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800"/>
        <w:gridCol w:w="5160"/>
      </w:tblGrid>
      <w:tr>
        <w:tc>
          <w:tcPr>
            <w:tcW w:type="dxa" w:w="2400"/>
            <w:tcBorders>
              <w:top w:val="single" w:color="D3D1C7" w:sz="1"/>
              <w:left w:val="single" w:color="D3D1C7" w:sz="1"/>
              <w:bottom w:val="single" w:color="D3D1C7" w:sz="1"/>
              <w:right w:val="single" w:color="D3D1C7" w:sz="1"/>
            </w:tcBorders>
            <w:shd w:fill="EAF3DE" w:val="clear"/>
            <w:tcMar>
              <w:top w:type="dxa" w:w="80"/>
              <w:left w:type="dxa" w:w="120"/>
              <w:bottom w:type="dxa" w:w="80"/>
              <w:right w:type="dxa" w:w="120"/>
            </w:tcMar>
          </w:tcPr>
          <w:p>
            <w:r>
              <w:rPr>
                <w:rFonts w:ascii="Arial" w:cs="Arial" w:eastAsia="Arial" w:hAnsi="Arial"/>
                <w:b/>
                <w:bCs/>
                <w:color w:val="27500A"/>
                <w:sz w:val="20"/>
                <w:szCs w:val="20"/>
              </w:rPr>
              <w:t xml:space="preserve">Study phase</w:t>
            </w:r>
          </w:p>
        </w:tc>
        <w:tc>
          <w:tcPr>
            <w:tcW w:type="dxa" w:w="1800"/>
            <w:tcBorders>
              <w:top w:val="single" w:color="D3D1C7" w:sz="1"/>
              <w:left w:val="single" w:color="D3D1C7" w:sz="1"/>
              <w:bottom w:val="single" w:color="D3D1C7" w:sz="1"/>
              <w:right w:val="single" w:color="D3D1C7" w:sz="1"/>
            </w:tcBorders>
            <w:shd w:fill="EAF3DE" w:val="clear"/>
            <w:tcMar>
              <w:top w:type="dxa" w:w="80"/>
              <w:left w:type="dxa" w:w="120"/>
              <w:bottom w:type="dxa" w:w="80"/>
              <w:right w:type="dxa" w:w="120"/>
            </w:tcMar>
          </w:tcPr>
          <w:p>
            <w:r>
              <w:rPr>
                <w:rFonts w:ascii="Arial" w:cs="Arial" w:eastAsia="Arial" w:hAnsi="Arial"/>
                <w:b/>
                <w:bCs/>
                <w:color w:val="27500A"/>
                <w:sz w:val="20"/>
                <w:szCs w:val="20"/>
              </w:rPr>
              <w:t xml:space="preserve">Duration</w:t>
            </w:r>
          </w:p>
        </w:tc>
        <w:tc>
          <w:tcPr>
            <w:tcW w:type="dxa" w:w="5160"/>
            <w:tcBorders>
              <w:top w:val="single" w:color="D3D1C7" w:sz="1"/>
              <w:left w:val="single" w:color="D3D1C7" w:sz="1"/>
              <w:bottom w:val="single" w:color="D3D1C7" w:sz="1"/>
              <w:right w:val="single" w:color="D3D1C7" w:sz="1"/>
            </w:tcBorders>
            <w:shd w:fill="EAF3DE" w:val="clear"/>
            <w:tcMar>
              <w:top w:type="dxa" w:w="80"/>
              <w:left w:type="dxa" w:w="120"/>
              <w:bottom w:type="dxa" w:w="80"/>
              <w:right w:type="dxa" w:w="120"/>
            </w:tcMar>
          </w:tcPr>
          <w:p>
            <w:r>
              <w:rPr>
                <w:rFonts w:ascii="Arial" w:cs="Arial" w:eastAsia="Arial" w:hAnsi="Arial"/>
                <w:b/>
                <w:bCs/>
                <w:color w:val="27500A"/>
                <w:sz w:val="20"/>
                <w:szCs w:val="20"/>
              </w:rPr>
              <w:t xml:space="preserve">Description</w:t>
            </w:r>
          </w:p>
        </w:tc>
      </w:tr>
      <w:tr>
        <w:tc>
          <w:tcPr>
            <w:tcW w:type="dxa" w:w="2400"/>
            <w:tcBorders>
              <w:top w:val="single" w:color="D3D1C7" w:sz="1"/>
              <w:left w:val="single" w:color="D3D1C7" w:sz="1"/>
              <w:bottom w:val="single" w:color="D3D1C7" w:sz="1"/>
              <w:right w:val="single" w:color="D3D1C7"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Run-in</w:t>
            </w:r>
          </w:p>
        </w:tc>
        <w:tc>
          <w:tcPr>
            <w:tcW w:type="dxa" w:w="1800"/>
            <w:tcBorders>
              <w:top w:val="single" w:color="D3D1C7" w:sz="1"/>
              <w:left w:val="single" w:color="D3D1C7" w:sz="1"/>
              <w:bottom w:val="single" w:color="D3D1C7" w:sz="1"/>
              <w:right w:val="single" w:color="D3D1C7"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Months 1–2</w:t>
            </w:r>
          </w:p>
        </w:tc>
        <w:tc>
          <w:tcPr>
            <w:tcW w:type="dxa" w:w="5160"/>
            <w:tcBorders>
              <w:top w:val="single" w:color="D3D1C7" w:sz="1"/>
              <w:left w:val="single" w:color="D3D1C7" w:sz="1"/>
              <w:bottom w:val="single" w:color="D3D1C7" w:sz="1"/>
              <w:right w:val="single" w:color="D3D1C7"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All clinics collecting baseline data without the tool. Standard care consultations. PAM-13 administered post-consultation.</w:t>
            </w:r>
          </w:p>
        </w:tc>
      </w:tr>
      <w:tr>
        <w:tc>
          <w:tcPr>
            <w:tcW w:type="dxa" w:w="2400"/>
            <w:tcBorders>
              <w:top w:val="single" w:color="D3D1C7" w:sz="1"/>
              <w:left w:val="single" w:color="D3D1C7" w:sz="1"/>
              <w:bottom w:val="single" w:color="D3D1C7" w:sz="1"/>
              <w:right w:val="single" w:color="D3D1C7" w:sz="1"/>
            </w:tcBorders>
            <w:shd w:fill="F1EFE8" w:val="clear"/>
            <w:tcMar>
              <w:top w:type="dxa" w:w="80"/>
              <w:left w:type="dxa" w:w="120"/>
              <w:bottom w:type="dxa" w:w="80"/>
              <w:right w:type="dxa" w:w="120"/>
            </w:tcMar>
          </w:tcPr>
          <w:p>
            <w:r>
              <w:rPr>
                <w:rFonts w:ascii="Arial" w:cs="Arial" w:eastAsia="Arial" w:hAnsi="Arial"/>
                <w:b w:val="false"/>
                <w:bCs w:val="false"/>
                <w:color w:val="1a1a18"/>
                <w:sz w:val="20"/>
                <w:szCs w:val="20"/>
              </w:rPr>
              <w:t xml:space="preserve">Wave 1 activation</w:t>
            </w:r>
          </w:p>
        </w:tc>
        <w:tc>
          <w:tcPr>
            <w:tcW w:type="dxa" w:w="1800"/>
            <w:tcBorders>
              <w:top w:val="single" w:color="D3D1C7" w:sz="1"/>
              <w:left w:val="single" w:color="D3D1C7" w:sz="1"/>
              <w:bottom w:val="single" w:color="D3D1C7" w:sz="1"/>
              <w:right w:val="single" w:color="D3D1C7" w:sz="1"/>
            </w:tcBorders>
            <w:shd w:fill="F1EFE8" w:val="clear"/>
            <w:tcMar>
              <w:top w:type="dxa" w:w="80"/>
              <w:left w:type="dxa" w:w="120"/>
              <w:bottom w:type="dxa" w:w="80"/>
              <w:right w:type="dxa" w:w="120"/>
            </w:tcMar>
          </w:tcPr>
          <w:p>
            <w:r>
              <w:rPr>
                <w:rFonts w:ascii="Arial" w:cs="Arial" w:eastAsia="Arial" w:hAnsi="Arial"/>
                <w:b w:val="false"/>
                <w:bCs w:val="false"/>
                <w:color w:val="1a1a18"/>
                <w:sz w:val="20"/>
                <w:szCs w:val="20"/>
              </w:rPr>
              <w:t xml:space="preserve">Month 3</w:t>
            </w:r>
          </w:p>
        </w:tc>
        <w:tc>
          <w:tcPr>
            <w:tcW w:type="dxa" w:w="5160"/>
            <w:tcBorders>
              <w:top w:val="single" w:color="D3D1C7" w:sz="1"/>
              <w:left w:val="single" w:color="D3D1C7" w:sz="1"/>
              <w:bottom w:val="single" w:color="D3D1C7" w:sz="1"/>
              <w:right w:val="single" w:color="D3D1C7" w:sz="1"/>
            </w:tcBorders>
            <w:shd w:fill="F1EFE8" w:val="clear"/>
            <w:tcMar>
              <w:top w:type="dxa" w:w="80"/>
              <w:left w:type="dxa" w:w="120"/>
              <w:bottom w:type="dxa" w:w="80"/>
              <w:right w:type="dxa" w:w="120"/>
            </w:tcMar>
          </w:tcPr>
          <w:p>
            <w:r>
              <w:rPr>
                <w:rFonts w:ascii="Arial" w:cs="Arial" w:eastAsia="Arial" w:hAnsi="Arial"/>
                <w:b w:val="false"/>
                <w:bCs w:val="false"/>
                <w:color w:val="1a1a18"/>
                <w:sz w:val="20"/>
                <w:szCs w:val="20"/>
              </w:rPr>
              <w:t xml:space="preserve">First group of clinics introduced to the tool (randomised). Others continue control phase.</w:t>
            </w:r>
          </w:p>
        </w:tc>
      </w:tr>
      <w:tr>
        <w:tc>
          <w:tcPr>
            <w:tcW w:type="dxa" w:w="2400"/>
            <w:tcBorders>
              <w:top w:val="single" w:color="D3D1C7" w:sz="1"/>
              <w:left w:val="single" w:color="D3D1C7" w:sz="1"/>
              <w:bottom w:val="single" w:color="D3D1C7" w:sz="1"/>
              <w:right w:val="single" w:color="D3D1C7"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Wave 2 activation</w:t>
            </w:r>
          </w:p>
        </w:tc>
        <w:tc>
          <w:tcPr>
            <w:tcW w:type="dxa" w:w="1800"/>
            <w:tcBorders>
              <w:top w:val="single" w:color="D3D1C7" w:sz="1"/>
              <w:left w:val="single" w:color="D3D1C7" w:sz="1"/>
              <w:bottom w:val="single" w:color="D3D1C7" w:sz="1"/>
              <w:right w:val="single" w:color="D3D1C7"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Month 5</w:t>
            </w:r>
          </w:p>
        </w:tc>
        <w:tc>
          <w:tcPr>
            <w:tcW w:type="dxa" w:w="5160"/>
            <w:tcBorders>
              <w:top w:val="single" w:color="D3D1C7" w:sz="1"/>
              <w:left w:val="single" w:color="D3D1C7" w:sz="1"/>
              <w:bottom w:val="single" w:color="D3D1C7" w:sz="1"/>
              <w:right w:val="single" w:color="D3D1C7"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Second group of clinics introduced to the tool. First group continues active phase.</w:t>
            </w:r>
          </w:p>
        </w:tc>
      </w:tr>
      <w:tr>
        <w:tc>
          <w:tcPr>
            <w:tcW w:type="dxa" w:w="2400"/>
            <w:tcBorders>
              <w:top w:val="single" w:color="D3D1C7" w:sz="1"/>
              <w:left w:val="single" w:color="D3D1C7" w:sz="1"/>
              <w:bottom w:val="single" w:color="D3D1C7" w:sz="1"/>
              <w:right w:val="single" w:color="D3D1C7" w:sz="1"/>
            </w:tcBorders>
            <w:shd w:fill="F1EFE8" w:val="clear"/>
            <w:tcMar>
              <w:top w:type="dxa" w:w="80"/>
              <w:left w:type="dxa" w:w="120"/>
              <w:bottom w:type="dxa" w:w="80"/>
              <w:right w:type="dxa" w:w="120"/>
            </w:tcMar>
          </w:tcPr>
          <w:p>
            <w:r>
              <w:rPr>
                <w:rFonts w:ascii="Arial" w:cs="Arial" w:eastAsia="Arial" w:hAnsi="Arial"/>
                <w:b w:val="false"/>
                <w:bCs w:val="false"/>
                <w:color w:val="1a1a18"/>
                <w:sz w:val="20"/>
                <w:szCs w:val="20"/>
              </w:rPr>
              <w:t xml:space="preserve">Wave 3 activation</w:t>
            </w:r>
          </w:p>
        </w:tc>
        <w:tc>
          <w:tcPr>
            <w:tcW w:type="dxa" w:w="1800"/>
            <w:tcBorders>
              <w:top w:val="single" w:color="D3D1C7" w:sz="1"/>
              <w:left w:val="single" w:color="D3D1C7" w:sz="1"/>
              <w:bottom w:val="single" w:color="D3D1C7" w:sz="1"/>
              <w:right w:val="single" w:color="D3D1C7" w:sz="1"/>
            </w:tcBorders>
            <w:shd w:fill="F1EFE8" w:val="clear"/>
            <w:tcMar>
              <w:top w:type="dxa" w:w="80"/>
              <w:left w:type="dxa" w:w="120"/>
              <w:bottom w:type="dxa" w:w="80"/>
              <w:right w:type="dxa" w:w="120"/>
            </w:tcMar>
          </w:tcPr>
          <w:p>
            <w:r>
              <w:rPr>
                <w:rFonts w:ascii="Arial" w:cs="Arial" w:eastAsia="Arial" w:hAnsi="Arial"/>
                <w:b w:val="false"/>
                <w:bCs w:val="false"/>
                <w:color w:val="1a1a18"/>
                <w:sz w:val="20"/>
                <w:szCs w:val="20"/>
              </w:rPr>
              <w:t xml:space="preserve">Month 7</w:t>
            </w:r>
          </w:p>
        </w:tc>
        <w:tc>
          <w:tcPr>
            <w:tcW w:type="dxa" w:w="5160"/>
            <w:tcBorders>
              <w:top w:val="single" w:color="D3D1C7" w:sz="1"/>
              <w:left w:val="single" w:color="D3D1C7" w:sz="1"/>
              <w:bottom w:val="single" w:color="D3D1C7" w:sz="1"/>
              <w:right w:val="single" w:color="D3D1C7" w:sz="1"/>
            </w:tcBorders>
            <w:shd w:fill="F1EFE8" w:val="clear"/>
            <w:tcMar>
              <w:top w:type="dxa" w:w="80"/>
              <w:left w:type="dxa" w:w="120"/>
              <w:bottom w:type="dxa" w:w="80"/>
              <w:right w:type="dxa" w:w="120"/>
            </w:tcMar>
          </w:tcPr>
          <w:p>
            <w:r>
              <w:rPr>
                <w:rFonts w:ascii="Arial" w:cs="Arial" w:eastAsia="Arial" w:hAnsi="Arial"/>
                <w:b w:val="false"/>
                <w:bCs w:val="false"/>
                <w:color w:val="1a1a18"/>
                <w:sz w:val="20"/>
                <w:szCs w:val="20"/>
              </w:rPr>
              <w:t xml:space="preserve">Final group of clinics introduced to the tool. Full intervention across all sites.</w:t>
            </w:r>
          </w:p>
        </w:tc>
      </w:tr>
      <w:tr>
        <w:tc>
          <w:tcPr>
            <w:tcW w:type="dxa" w:w="2400"/>
            <w:tcBorders>
              <w:top w:val="single" w:color="D3D1C7" w:sz="1"/>
              <w:left w:val="single" w:color="D3D1C7" w:sz="1"/>
              <w:bottom w:val="single" w:color="D3D1C7" w:sz="1"/>
              <w:right w:val="single" w:color="D3D1C7"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Close-out</w:t>
            </w:r>
          </w:p>
        </w:tc>
        <w:tc>
          <w:tcPr>
            <w:tcW w:type="dxa" w:w="1800"/>
            <w:tcBorders>
              <w:top w:val="single" w:color="D3D1C7" w:sz="1"/>
              <w:left w:val="single" w:color="D3D1C7" w:sz="1"/>
              <w:bottom w:val="single" w:color="D3D1C7" w:sz="1"/>
              <w:right w:val="single" w:color="D3D1C7"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Month 8</w:t>
            </w:r>
          </w:p>
        </w:tc>
        <w:tc>
          <w:tcPr>
            <w:tcW w:type="dxa" w:w="5160"/>
            <w:tcBorders>
              <w:top w:val="single" w:color="D3D1C7" w:sz="1"/>
              <w:left w:val="single" w:color="D3D1C7" w:sz="1"/>
              <w:bottom w:val="single" w:color="D3D1C7" w:sz="1"/>
              <w:right w:val="single" w:color="D3D1C7"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Final data collection, clinician surveys, site debrief.</w:t>
            </w:r>
          </w:p>
        </w:tc>
      </w:tr>
    </w:tbl>
    <w:p>
      <w:pPr>
        <w:spacing w:after="0" w:before="120"/>
      </w:pPr>
      <w:r>
        <w:t xml:space="preserve"/>
      </w:r>
    </w:p>
    <w:p>
      <w:pPr>
        <w:pStyle w:val="Heading1"/>
        <w:pBdr>
          <w:bottom w:val="single" w:color="639922" w:sz="4" w:space="4"/>
        </w:pBdr>
        <w:spacing w:after="120" w:before="360"/>
      </w:pPr>
      <w:r>
        <w:rPr>
          <w:rFonts w:ascii="Arial" w:cs="Arial" w:eastAsia="Arial" w:hAnsi="Arial"/>
          <w:b/>
          <w:bCs/>
          <w:color w:val="27500A"/>
          <w:sz w:val="28"/>
          <w:szCs w:val="28"/>
        </w:rPr>
        <w:t xml:space="preserve">4. Participants</w:t>
      </w:r>
    </w:p>
    <w:p>
      <w:pPr>
        <w:pStyle w:val="Heading2"/>
        <w:spacing w:after="80" w:before="240"/>
      </w:pPr>
      <w:r>
        <w:rPr>
          <w:rFonts w:ascii="Arial" w:cs="Arial" w:eastAsia="Arial" w:hAnsi="Arial"/>
          <w:b/>
          <w:bCs/>
          <w:color w:val="27500A"/>
          <w:sz w:val="24"/>
          <w:szCs w:val="24"/>
        </w:rPr>
        <w:t xml:space="preserve">4.1 Clinic eligibility</w:t>
      </w:r>
    </w:p>
    <w:p>
      <w:pPr>
        <w:pStyle w:val="ListParagraph"/>
        <w:numPr>
          <w:ilvl w:val="0"/>
          <w:numId w:val="2"/>
        </w:numPr>
        <w:spacing w:after="40" w:before="40"/>
      </w:pPr>
      <w:r>
        <w:rPr>
          <w:rFonts w:ascii="Arial" w:cs="Arial" w:eastAsia="Arial" w:hAnsi="Arial"/>
          <w:b w:val="false"/>
          <w:bCs w:val="false"/>
          <w:color w:val="1a1a18"/>
          <w:sz w:val="22"/>
          <w:szCs w:val="22"/>
        </w:rPr>
        <w:t xml:space="preserve">Primary care, preventive health, lifestyle medicine, cardiology, or endocrinology practice</w:t>
      </w:r>
    </w:p>
    <w:p>
      <w:pPr>
        <w:pStyle w:val="ListParagraph"/>
        <w:numPr>
          <w:ilvl w:val="0"/>
          <w:numId w:val="2"/>
        </w:numPr>
        <w:spacing w:after="40" w:before="40"/>
      </w:pPr>
      <w:r>
        <w:rPr>
          <w:rFonts w:ascii="Arial" w:cs="Arial" w:eastAsia="Arial" w:hAnsi="Arial"/>
          <w:b w:val="false"/>
          <w:bCs w:val="false"/>
          <w:color w:val="1a1a18"/>
          <w:sz w:val="22"/>
          <w:szCs w:val="22"/>
        </w:rPr>
        <w:t xml:space="preserve">Minimum 2 clinicians willing to participate</w:t>
      </w:r>
    </w:p>
    <w:p>
      <w:pPr>
        <w:pStyle w:val="ListParagraph"/>
        <w:numPr>
          <w:ilvl w:val="0"/>
          <w:numId w:val="2"/>
        </w:numPr>
        <w:spacing w:after="40" w:before="40"/>
      </w:pPr>
      <w:r>
        <w:rPr>
          <w:rFonts w:ascii="Arial" w:cs="Arial" w:eastAsia="Arial" w:hAnsi="Arial"/>
          <w:b w:val="false"/>
          <w:bCs w:val="false"/>
          <w:color w:val="1a1a18"/>
          <w:sz w:val="22"/>
          <w:szCs w:val="22"/>
        </w:rPr>
        <w:t xml:space="preserve">Capacity to enrol at least 20 eligible patient consultations per measurement period</w:t>
      </w:r>
    </w:p>
    <w:p>
      <w:pPr>
        <w:pStyle w:val="ListParagraph"/>
        <w:numPr>
          <w:ilvl w:val="0"/>
          <w:numId w:val="2"/>
        </w:numPr>
        <w:spacing w:after="40" w:before="40"/>
      </w:pPr>
      <w:r>
        <w:rPr>
          <w:rFonts w:ascii="Arial" w:cs="Arial" w:eastAsia="Arial" w:hAnsi="Arial"/>
          <w:b w:val="false"/>
          <w:bCs w:val="false"/>
          <w:color w:val="1a1a18"/>
          <w:sz w:val="22"/>
          <w:szCs w:val="22"/>
        </w:rPr>
        <w:t xml:space="preserve">Access to a screen or device during consultations for tool display</w:t>
      </w:r>
    </w:p>
    <w:p>
      <w:pPr>
        <w:pStyle w:val="ListParagraph"/>
        <w:numPr>
          <w:ilvl w:val="0"/>
          <w:numId w:val="2"/>
        </w:numPr>
        <w:spacing w:after="40" w:before="40"/>
      </w:pPr>
      <w:r>
        <w:rPr>
          <w:rFonts w:ascii="Arial" w:cs="Arial" w:eastAsia="Arial" w:hAnsi="Arial"/>
          <w:b w:val="false"/>
          <w:bCs w:val="false"/>
          <w:color w:val="1a1a18"/>
          <w:sz w:val="22"/>
          <w:szCs w:val="22"/>
        </w:rPr>
        <w:t xml:space="preserve">Willing to complete study procedures and data submission requirements</w:t>
      </w:r>
    </w:p>
    <w:p>
      <w:pPr>
        <w:spacing w:after="0" w:before="80"/>
      </w:pPr>
      <w:r>
        <w:t xml:space="preserve"/>
      </w:r>
    </w:p>
    <w:p>
      <w:pPr>
        <w:pStyle w:val="Heading2"/>
        <w:spacing w:after="80" w:before="240"/>
      </w:pPr>
      <w:r>
        <w:rPr>
          <w:rFonts w:ascii="Arial" w:cs="Arial" w:eastAsia="Arial" w:hAnsi="Arial"/>
          <w:b/>
          <w:bCs/>
          <w:color w:val="27500A"/>
          <w:sz w:val="24"/>
          <w:szCs w:val="24"/>
        </w:rPr>
        <w:t xml:space="preserve">4.2 Patient eligibility</w:t>
      </w:r>
    </w:p>
    <w:p>
      <w:pPr>
        <w:spacing w:after="60" w:before="180"/>
      </w:pPr>
      <w:r>
        <w:rPr>
          <w:rFonts w:ascii="Arial" w:cs="Arial" w:eastAsia="Arial" w:hAnsi="Arial"/>
          <w:b/>
          <w:bCs/>
          <w:color w:val="444441"/>
          <w:sz w:val="22"/>
          <w:szCs w:val="22"/>
        </w:rPr>
        <w:t xml:space="preserve">Inclusion criteria</w:t>
      </w:r>
    </w:p>
    <w:p>
      <w:pPr>
        <w:pStyle w:val="ListParagraph"/>
        <w:numPr>
          <w:ilvl w:val="0"/>
          <w:numId w:val="2"/>
        </w:numPr>
        <w:spacing w:after="40" w:before="40"/>
      </w:pPr>
      <w:r>
        <w:rPr>
          <w:rFonts w:ascii="Arial" w:cs="Arial" w:eastAsia="Arial" w:hAnsi="Arial"/>
          <w:b w:val="false"/>
          <w:bCs w:val="false"/>
          <w:color w:val="1a1a18"/>
          <w:sz w:val="22"/>
          <w:szCs w:val="22"/>
        </w:rPr>
        <w:t xml:space="preserve">Adults aged 35–80 years</w:t>
      </w:r>
    </w:p>
    <w:p>
      <w:pPr>
        <w:pStyle w:val="ListParagraph"/>
        <w:numPr>
          <w:ilvl w:val="0"/>
          <w:numId w:val="2"/>
        </w:numPr>
        <w:spacing w:after="40" w:before="40"/>
      </w:pPr>
      <w:r>
        <w:rPr>
          <w:rFonts w:ascii="Arial" w:cs="Arial" w:eastAsia="Arial" w:hAnsi="Arial"/>
          <w:b w:val="false"/>
          <w:bCs w:val="false"/>
          <w:color w:val="1a1a18"/>
          <w:sz w:val="22"/>
          <w:szCs w:val="22"/>
        </w:rPr>
        <w:t xml:space="preserve">Attending a routine or preventive health consultation</w:t>
      </w:r>
    </w:p>
    <w:p>
      <w:pPr>
        <w:pStyle w:val="ListParagraph"/>
        <w:numPr>
          <w:ilvl w:val="0"/>
          <w:numId w:val="2"/>
        </w:numPr>
        <w:spacing w:after="40" w:before="40"/>
      </w:pPr>
      <w:r>
        <w:rPr>
          <w:rFonts w:ascii="Arial" w:cs="Arial" w:eastAsia="Arial" w:hAnsi="Arial"/>
          <w:b w:val="false"/>
          <w:bCs w:val="false"/>
          <w:color w:val="1a1a18"/>
          <w:sz w:val="22"/>
          <w:szCs w:val="22"/>
        </w:rPr>
        <w:t xml:space="preserve">Able to provide verbal informed consent to data collection</w:t>
      </w:r>
    </w:p>
    <w:p>
      <w:pPr>
        <w:pStyle w:val="ListParagraph"/>
        <w:numPr>
          <w:ilvl w:val="0"/>
          <w:numId w:val="2"/>
        </w:numPr>
        <w:spacing w:after="40" w:before="40"/>
      </w:pPr>
      <w:r>
        <w:rPr>
          <w:rFonts w:ascii="Arial" w:cs="Arial" w:eastAsia="Arial" w:hAnsi="Arial"/>
          <w:b w:val="false"/>
          <w:bCs w:val="false"/>
          <w:color w:val="1a1a18"/>
          <w:sz w:val="22"/>
          <w:szCs w:val="22"/>
        </w:rPr>
        <w:t xml:space="preserve">Sufficient English language proficiency to engage with the tool (or clinician able to translate)</w:t>
      </w:r>
    </w:p>
    <w:p>
      <w:pPr>
        <w:spacing w:after="60" w:before="180"/>
      </w:pPr>
      <w:r>
        <w:rPr>
          <w:rFonts w:ascii="Arial" w:cs="Arial" w:eastAsia="Arial" w:hAnsi="Arial"/>
          <w:b/>
          <w:bCs/>
          <w:color w:val="444441"/>
          <w:sz w:val="22"/>
          <w:szCs w:val="22"/>
        </w:rPr>
        <w:t xml:space="preserve">Exclusion criteria</w:t>
      </w:r>
    </w:p>
    <w:p>
      <w:pPr>
        <w:pStyle w:val="ListParagraph"/>
        <w:numPr>
          <w:ilvl w:val="0"/>
          <w:numId w:val="2"/>
        </w:numPr>
        <w:spacing w:after="40" w:before="40"/>
      </w:pPr>
      <w:r>
        <w:rPr>
          <w:rFonts w:ascii="Arial" w:cs="Arial" w:eastAsia="Arial" w:hAnsi="Arial"/>
          <w:b w:val="false"/>
          <w:bCs w:val="false"/>
          <w:color w:val="1a1a18"/>
          <w:sz w:val="22"/>
          <w:szCs w:val="22"/>
        </w:rPr>
        <w:t xml:space="preserve">Acute illness or crisis presentation where lifestyle discussion is inappropriate</w:t>
      </w:r>
    </w:p>
    <w:p>
      <w:pPr>
        <w:pStyle w:val="ListParagraph"/>
        <w:numPr>
          <w:ilvl w:val="0"/>
          <w:numId w:val="2"/>
        </w:numPr>
        <w:spacing w:after="40" w:before="40"/>
      </w:pPr>
      <w:r>
        <w:rPr>
          <w:rFonts w:ascii="Arial" w:cs="Arial" w:eastAsia="Arial" w:hAnsi="Arial"/>
          <w:b w:val="false"/>
          <w:bCs w:val="false"/>
          <w:color w:val="1a1a18"/>
          <w:sz w:val="22"/>
          <w:szCs w:val="22"/>
        </w:rPr>
        <w:t xml:space="preserve">Cognitive impairment that would prevent meaningful engagement with the tool</w:t>
      </w:r>
    </w:p>
    <w:p>
      <w:pPr>
        <w:pStyle w:val="ListParagraph"/>
        <w:numPr>
          <w:ilvl w:val="0"/>
          <w:numId w:val="2"/>
        </w:numPr>
        <w:spacing w:after="40" w:before="40"/>
      </w:pPr>
      <w:r>
        <w:rPr>
          <w:rFonts w:ascii="Arial" w:cs="Arial" w:eastAsia="Arial" w:hAnsi="Arial"/>
          <w:b w:val="false"/>
          <w:bCs w:val="false"/>
          <w:color w:val="1a1a18"/>
          <w:sz w:val="22"/>
          <w:szCs w:val="22"/>
        </w:rPr>
        <w:t xml:space="preserve">Consultation duration less than 10 minutes</w:t>
      </w:r>
    </w:p>
    <w:p>
      <w:pPr>
        <w:pStyle w:val="ListParagraph"/>
        <w:numPr>
          <w:ilvl w:val="0"/>
          <w:numId w:val="2"/>
        </w:numPr>
        <w:spacing w:after="40" w:before="40"/>
      </w:pPr>
      <w:r>
        <w:rPr>
          <w:rFonts w:ascii="Arial" w:cs="Arial" w:eastAsia="Arial" w:hAnsi="Arial"/>
          <w:b w:val="false"/>
          <w:bCs w:val="false"/>
          <w:color w:val="1a1a18"/>
          <w:sz w:val="22"/>
          <w:szCs w:val="22"/>
        </w:rPr>
        <w:t xml:space="preserve">Previously enrolled in this study</w:t>
      </w:r>
    </w:p>
    <w:p>
      <w:pPr>
        <w:spacing w:after="0" w:before="120"/>
      </w:pPr>
      <w:r>
        <w:t xml:space="preserve"/>
      </w:r>
    </w:p>
    <w:p>
      <w:pPr>
        <w:pStyle w:val="Heading1"/>
        <w:pBdr>
          <w:bottom w:val="single" w:color="639922" w:sz="4" w:space="4"/>
        </w:pBdr>
        <w:spacing w:after="120" w:before="360"/>
      </w:pPr>
      <w:r>
        <w:rPr>
          <w:rFonts w:ascii="Arial" w:cs="Arial" w:eastAsia="Arial" w:hAnsi="Arial"/>
          <w:b/>
          <w:bCs/>
          <w:color w:val="27500A"/>
          <w:sz w:val="28"/>
          <w:szCs w:val="28"/>
        </w:rPr>
        <w:t xml:space="preserve">5. Intervention</w:t>
      </w:r>
    </w:p>
    <w:p>
      <w:pPr>
        <w:spacing w:after="100" w:before="60"/>
      </w:pPr>
      <w:r>
        <w:rPr>
          <w:rFonts w:ascii="Arial" w:cs="Arial" w:eastAsia="Arial" w:hAnsi="Arial"/>
          <w:color w:val="1a1a18"/>
          <w:sz w:val="22"/>
          <w:szCs w:val="22"/>
        </w:rPr>
        <w:t xml:space="preserve">The Health Horizon Conversation Tool is accessed via web browser on a clinic device (desktop, laptop, or tablet). Clinicians configure the tool at the start of each eligible consultation by entering the patient's age, biological sex, health improvement level, current health state, and applicable risk and protective factors. The tool generates a real-time visual showing:</w:t>
      </w:r>
    </w:p>
    <w:p>
      <w:pPr>
        <w:spacing w:after="0" w:before="60"/>
      </w:pPr>
      <w:r>
        <w:t xml:space="preserve"/>
      </w:r>
    </w:p>
    <w:p>
      <w:pPr>
        <w:pStyle w:val="ListParagraph"/>
        <w:numPr>
          <w:ilvl w:val="0"/>
          <w:numId w:val="2"/>
        </w:numPr>
        <w:spacing w:after="40" w:before="40"/>
      </w:pPr>
      <w:r>
        <w:rPr>
          <w:rFonts w:ascii="Arial" w:cs="Arial" w:eastAsia="Arial" w:hAnsi="Arial"/>
          <w:b w:val="false"/>
          <w:bCs w:val="false"/>
          <w:color w:val="1a1a18"/>
          <w:sz w:val="22"/>
          <w:szCs w:val="22"/>
        </w:rPr>
        <w:t xml:space="preserve">Current path life expectancy and years remaining</w:t>
      </w:r>
    </w:p>
    <w:p>
      <w:pPr>
        <w:pStyle w:val="ListParagraph"/>
        <w:numPr>
          <w:ilvl w:val="0"/>
          <w:numId w:val="2"/>
        </w:numPr>
        <w:spacing w:after="40" w:before="40"/>
      </w:pPr>
      <w:r>
        <w:rPr>
          <w:rFonts w:ascii="Arial" w:cs="Arial" w:eastAsia="Arial" w:hAnsi="Arial"/>
          <w:b w:val="false"/>
          <w:bCs w:val="false"/>
          <w:color w:val="1a1a18"/>
          <w:sz w:val="22"/>
          <w:szCs w:val="22"/>
        </w:rPr>
        <w:t xml:space="preserve">Improved path life expectancy and years remaining</w:t>
      </w:r>
    </w:p>
    <w:p>
      <w:pPr>
        <w:pStyle w:val="ListParagraph"/>
        <w:numPr>
          <w:ilvl w:val="0"/>
          <w:numId w:val="2"/>
        </w:numPr>
        <w:spacing w:after="40" w:before="40"/>
      </w:pPr>
      <w:r>
        <w:rPr>
          <w:rFonts w:ascii="Arial" w:cs="Arial" w:eastAsia="Arial" w:hAnsi="Arial"/>
          <w:b w:val="false"/>
          <w:bCs w:val="false"/>
          <w:color w:val="1a1a18"/>
          <w:sz w:val="22"/>
          <w:szCs w:val="22"/>
        </w:rPr>
        <w:t xml:space="preserve">A dynamic trajectory chart from current age to projected end of life</w:t>
      </w:r>
    </w:p>
    <w:p>
      <w:pPr>
        <w:pStyle w:val="ListParagraph"/>
        <w:numPr>
          <w:ilvl w:val="0"/>
          <w:numId w:val="2"/>
        </w:numPr>
        <w:spacing w:after="40" w:before="40"/>
      </w:pPr>
      <w:r>
        <w:rPr>
          <w:rFonts w:ascii="Arial" w:cs="Arial" w:eastAsia="Arial" w:hAnsi="Arial"/>
          <w:b w:val="false"/>
          <w:bCs w:val="false"/>
          <w:color w:val="1a1a18"/>
          <w:sz w:val="22"/>
          <w:szCs w:val="22"/>
        </w:rPr>
        <w:t xml:space="preserve">A health horizon spectrum indicating the patient's current functional state</w:t>
      </w:r>
    </w:p>
    <w:p>
      <w:pPr>
        <w:pStyle w:val="ListParagraph"/>
        <w:numPr>
          <w:ilvl w:val="0"/>
          <w:numId w:val="2"/>
        </w:numPr>
        <w:spacing w:after="40" w:before="40"/>
      </w:pPr>
      <w:r>
        <w:rPr>
          <w:rFonts w:ascii="Arial" w:cs="Arial" w:eastAsia="Arial" w:hAnsi="Arial"/>
          <w:b w:val="false"/>
          <w:bCs w:val="false"/>
          <w:color w:val="1a1a18"/>
          <w:sz w:val="22"/>
          <w:szCs w:val="22"/>
        </w:rPr>
        <w:t xml:space="preserve">A personalised insight panel summarising the key message for that patient</w:t>
      </w:r>
    </w:p>
    <w:p>
      <w:pPr>
        <w:spacing w:after="0" w:before="60"/>
      </w:pPr>
      <w:r>
        <w:t xml:space="preserve"/>
      </w:r>
    </w:p>
    <w:p>
      <w:pPr>
        <w:spacing w:after="100" w:before="60"/>
      </w:pPr>
      <w:r>
        <w:rPr>
          <w:rFonts w:ascii="Arial" w:cs="Arial" w:eastAsia="Arial" w:hAnsi="Arial"/>
          <w:color w:val="1a1a18"/>
          <w:sz w:val="22"/>
          <w:szCs w:val="22"/>
        </w:rPr>
        <w:t xml:space="preserve">At the end of the consultation, the clinician exports a personalised patient summary (PDF or print) which the patient takes home. The summary includes their numbers, identified risk and protective factors, and a plain-language key message from the visit.</w:t>
      </w:r>
    </w:p>
    <w:p>
      <w:pPr>
        <w:spacing w:after="0" w:before="60"/>
      </w:pPr>
      <w:r>
        <w:t xml:space="preserve"/>
      </w:r>
    </w:p>
    <w:p>
      <w:pPr>
        <w:spacing w:after="100" w:before="60"/>
      </w:pPr>
      <w:r>
        <w:rPr>
          <w:rFonts w:ascii="Arial" w:cs="Arial" w:eastAsia="Arial" w:hAnsi="Arial"/>
          <w:color w:val="1a1a18"/>
          <w:sz w:val="22"/>
          <w:szCs w:val="22"/>
        </w:rPr>
        <w:t xml:space="preserve">No changes are made to clinical investigation, diagnosis, treatment, or prescribing as part of this study. The tool is a conversation aid only.</w:t>
      </w:r>
    </w:p>
    <w:p>
      <w:pPr>
        <w:spacing w:after="0" w:before="60"/>
      </w:pPr>
      <w:r>
        <w:t xml:space="preserve"/>
      </w:r>
    </w:p>
    <w:p>
      <w:pPr>
        <w:pStyle w:val="Heading2"/>
        <w:spacing w:after="80" w:before="240"/>
      </w:pPr>
      <w:r>
        <w:rPr>
          <w:rFonts w:ascii="Arial" w:cs="Arial" w:eastAsia="Arial" w:hAnsi="Arial"/>
          <w:b/>
          <w:bCs/>
          <w:color w:val="27500A"/>
          <w:sz w:val="24"/>
          <w:szCs w:val="24"/>
        </w:rPr>
        <w:t xml:space="preserve">5.1 Clinician training</w:t>
      </w:r>
    </w:p>
    <w:p>
      <w:pPr>
        <w:spacing w:after="100" w:before="60"/>
      </w:pPr>
      <w:r>
        <w:rPr>
          <w:rFonts w:ascii="Arial" w:cs="Arial" w:eastAsia="Arial" w:hAnsi="Arial"/>
          <w:color w:val="1a1a18"/>
          <w:sz w:val="22"/>
          <w:szCs w:val="22"/>
        </w:rPr>
        <w:t xml:space="preserve">Each participating clinician will complete a 30-minute onboarding session covering tool navigation, evidence underpinning the factor estimates, appropriate framing with patients, and study procedures. A one-page quick reference card will be provided for in-consultation use.</w:t>
      </w:r>
    </w:p>
    <w:p>
      <w:pPr>
        <w:spacing w:after="0" w:before="120"/>
      </w:pPr>
      <w:r>
        <w:t xml:space="preserve"/>
      </w:r>
    </w:p>
    <w:p>
      <w:pPr>
        <w:pStyle w:val="Heading1"/>
        <w:pBdr>
          <w:bottom w:val="single" w:color="639922" w:sz="4" w:space="4"/>
        </w:pBdr>
        <w:spacing w:after="120" w:before="360"/>
      </w:pPr>
      <w:r>
        <w:rPr>
          <w:rFonts w:ascii="Arial" w:cs="Arial" w:eastAsia="Arial" w:hAnsi="Arial"/>
          <w:b/>
          <w:bCs/>
          <w:color w:val="27500A"/>
          <w:sz w:val="28"/>
          <w:szCs w:val="28"/>
        </w:rPr>
        <w:t xml:space="preserve">6. Outcomes</w:t>
      </w:r>
    </w:p>
    <w:p>
      <w:pPr>
        <w:pStyle w:val="Heading2"/>
        <w:spacing w:after="80" w:before="240"/>
      </w:pPr>
      <w:r>
        <w:rPr>
          <w:rFonts w:ascii="Arial" w:cs="Arial" w:eastAsia="Arial" w:hAnsi="Arial"/>
          <w:b/>
          <w:bCs/>
          <w:color w:val="27500A"/>
          <w:sz w:val="24"/>
          <w:szCs w:val="24"/>
        </w:rPr>
        <w:t xml:space="preserve">6.1 Primary outcome</w:t>
      </w:r>
    </w:p>
    <w:p>
      <w:pPr>
        <w:spacing w:after="100" w:before="60"/>
      </w:pPr>
      <w:r>
        <w:rPr>
          <w:rFonts w:ascii="Arial" w:cs="Arial" w:eastAsia="Arial" w:hAnsi="Arial"/>
          <w:color w:val="1a1a18"/>
          <w:sz w:val="22"/>
          <w:szCs w:val="22"/>
        </w:rPr>
        <w:t xml:space="preserve">Patient Activation Measure (PAM-13) score, administered as a 13-item self-report questionnaire immediately following the consultation. The PAM-13 is a validated, widely used measure of patient knowledge, skills, and confidence in managing their own health. Scores range from 0–100; higher scores indicate greater activation. A 5–10 point difference is considered clinically meaningful.</w:t>
      </w:r>
    </w:p>
    <w:p>
      <w:pPr>
        <w:spacing w:after="0" w:before="80"/>
      </w:pPr>
      <w:r>
        <w:t xml:space="preserve"/>
      </w:r>
    </w:p>
    <w:p>
      <w:pPr>
        <w:pStyle w:val="Heading2"/>
        <w:spacing w:after="80" w:before="240"/>
      </w:pPr>
      <w:r>
        <w:rPr>
          <w:rFonts w:ascii="Arial" w:cs="Arial" w:eastAsia="Arial" w:hAnsi="Arial"/>
          <w:b/>
          <w:bCs/>
          <w:color w:val="27500A"/>
          <w:sz w:val="24"/>
          <w:szCs w:val="24"/>
        </w:rPr>
        <w:t xml:space="preserve">6.2 Secondary outcomes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400"/>
        <w:gridCol w:w="3360"/>
      </w:tblGrid>
      <w:tr>
        <w:tc>
          <w:tcPr>
            <w:tcW w:type="dxa" w:w="2600"/>
            <w:tcBorders>
              <w:top w:val="single" w:color="D3D1C7" w:sz="1"/>
              <w:left w:val="single" w:color="D3D1C7" w:sz="1"/>
              <w:bottom w:val="single" w:color="D3D1C7" w:sz="1"/>
              <w:right w:val="single" w:color="D3D1C7" w:sz="1"/>
            </w:tcBorders>
            <w:shd w:fill="EAF3DE" w:val="clear"/>
            <w:tcMar>
              <w:top w:type="dxa" w:w="80"/>
              <w:left w:type="dxa" w:w="120"/>
              <w:bottom w:type="dxa" w:w="80"/>
              <w:right w:type="dxa" w:w="120"/>
            </w:tcMar>
          </w:tcPr>
          <w:p>
            <w:r>
              <w:rPr>
                <w:rFonts w:ascii="Arial" w:cs="Arial" w:eastAsia="Arial" w:hAnsi="Arial"/>
                <w:b/>
                <w:bCs/>
                <w:color w:val="27500A"/>
                <w:sz w:val="20"/>
                <w:szCs w:val="20"/>
              </w:rPr>
              <w:t xml:space="preserve">Outcome</w:t>
            </w:r>
          </w:p>
        </w:tc>
        <w:tc>
          <w:tcPr>
            <w:tcW w:type="dxa" w:w="3400"/>
            <w:tcBorders>
              <w:top w:val="single" w:color="D3D1C7" w:sz="1"/>
              <w:left w:val="single" w:color="D3D1C7" w:sz="1"/>
              <w:bottom w:val="single" w:color="D3D1C7" w:sz="1"/>
              <w:right w:val="single" w:color="D3D1C7" w:sz="1"/>
            </w:tcBorders>
            <w:shd w:fill="EAF3DE" w:val="clear"/>
            <w:tcMar>
              <w:top w:type="dxa" w:w="80"/>
              <w:left w:type="dxa" w:w="120"/>
              <w:bottom w:type="dxa" w:w="80"/>
              <w:right w:type="dxa" w:w="120"/>
            </w:tcMar>
          </w:tcPr>
          <w:p>
            <w:r>
              <w:rPr>
                <w:rFonts w:ascii="Arial" w:cs="Arial" w:eastAsia="Arial" w:hAnsi="Arial"/>
                <w:b/>
                <w:bCs/>
                <w:color w:val="27500A"/>
                <w:sz w:val="20"/>
                <w:szCs w:val="20"/>
              </w:rPr>
              <w:t xml:space="preserve">Instrument / method</w:t>
            </w:r>
          </w:p>
        </w:tc>
        <w:tc>
          <w:tcPr>
            <w:tcW w:type="dxa" w:w="3360"/>
            <w:tcBorders>
              <w:top w:val="single" w:color="D3D1C7" w:sz="1"/>
              <w:left w:val="single" w:color="D3D1C7" w:sz="1"/>
              <w:bottom w:val="single" w:color="D3D1C7" w:sz="1"/>
              <w:right w:val="single" w:color="D3D1C7" w:sz="1"/>
            </w:tcBorders>
            <w:shd w:fill="EAF3DE" w:val="clear"/>
            <w:tcMar>
              <w:top w:type="dxa" w:w="80"/>
              <w:left w:type="dxa" w:w="120"/>
              <w:bottom w:type="dxa" w:w="80"/>
              <w:right w:type="dxa" w:w="120"/>
            </w:tcMar>
          </w:tcPr>
          <w:p>
            <w:r>
              <w:rPr>
                <w:rFonts w:ascii="Arial" w:cs="Arial" w:eastAsia="Arial" w:hAnsi="Arial"/>
                <w:b/>
                <w:bCs/>
                <w:color w:val="27500A"/>
                <w:sz w:val="20"/>
                <w:szCs w:val="20"/>
              </w:rPr>
              <w:t xml:space="preserve">Timing</w:t>
            </w:r>
          </w:p>
        </w:tc>
      </w:tr>
      <w:tr>
        <w:tc>
          <w:tcPr>
            <w:tcW w:type="dxa" w:w="2600"/>
            <w:tcBorders>
              <w:top w:val="single" w:color="D3D1C7" w:sz="1"/>
              <w:left w:val="single" w:color="D3D1C7" w:sz="1"/>
              <w:bottom w:val="single" w:color="D3D1C7" w:sz="1"/>
              <w:right w:val="single" w:color="D3D1C7"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Lifestyle factor discussion</w:t>
            </w:r>
          </w:p>
        </w:tc>
        <w:tc>
          <w:tcPr>
            <w:tcW w:type="dxa" w:w="3400"/>
            <w:tcBorders>
              <w:top w:val="single" w:color="D3D1C7" w:sz="1"/>
              <w:left w:val="single" w:color="D3D1C7" w:sz="1"/>
              <w:bottom w:val="single" w:color="D3D1C7" w:sz="1"/>
              <w:right w:val="single" w:color="D3D1C7"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Clinician post-consultation checklist (5 items)</w:t>
            </w:r>
          </w:p>
        </w:tc>
        <w:tc>
          <w:tcPr>
            <w:tcW w:type="dxa" w:w="3360"/>
            <w:tcBorders>
              <w:top w:val="single" w:color="D3D1C7" w:sz="1"/>
              <w:left w:val="single" w:color="D3D1C7" w:sz="1"/>
              <w:bottom w:val="single" w:color="D3D1C7" w:sz="1"/>
              <w:right w:val="single" w:color="D3D1C7"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Immediately post-consultation</w:t>
            </w:r>
          </w:p>
        </w:tc>
      </w:tr>
      <w:tr>
        <w:tc>
          <w:tcPr>
            <w:tcW w:type="dxa" w:w="2600"/>
            <w:tcBorders>
              <w:top w:val="single" w:color="D3D1C7" w:sz="1"/>
              <w:left w:val="single" w:color="D3D1C7" w:sz="1"/>
              <w:bottom w:val="single" w:color="D3D1C7" w:sz="1"/>
              <w:right w:val="single" w:color="D3D1C7" w:sz="1"/>
            </w:tcBorders>
            <w:shd w:fill="F1EFE8" w:val="clear"/>
            <w:tcMar>
              <w:top w:type="dxa" w:w="80"/>
              <w:left w:type="dxa" w:w="120"/>
              <w:bottom w:type="dxa" w:w="80"/>
              <w:right w:type="dxa" w:w="120"/>
            </w:tcMar>
          </w:tcPr>
          <w:p>
            <w:r>
              <w:rPr>
                <w:rFonts w:ascii="Arial" w:cs="Arial" w:eastAsia="Arial" w:hAnsi="Arial"/>
                <w:b w:val="false"/>
                <w:bCs w:val="false"/>
                <w:color w:val="1a1a18"/>
                <w:sz w:val="20"/>
                <w:szCs w:val="20"/>
              </w:rPr>
              <w:t xml:space="preserve">Patient behaviour change intent</w:t>
            </w:r>
          </w:p>
        </w:tc>
        <w:tc>
          <w:tcPr>
            <w:tcW w:type="dxa" w:w="3400"/>
            <w:tcBorders>
              <w:top w:val="single" w:color="D3D1C7" w:sz="1"/>
              <w:left w:val="single" w:color="D3D1C7" w:sz="1"/>
              <w:bottom w:val="single" w:color="D3D1C7" w:sz="1"/>
              <w:right w:val="single" w:color="D3D1C7" w:sz="1"/>
            </w:tcBorders>
            <w:shd w:fill="F1EFE8" w:val="clear"/>
            <w:tcMar>
              <w:top w:type="dxa" w:w="80"/>
              <w:left w:type="dxa" w:w="120"/>
              <w:bottom w:type="dxa" w:w="80"/>
              <w:right w:type="dxa" w:w="120"/>
            </w:tcMar>
          </w:tcPr>
          <w:p>
            <w:r>
              <w:rPr>
                <w:rFonts w:ascii="Arial" w:cs="Arial" w:eastAsia="Arial" w:hAnsi="Arial"/>
                <w:b w:val="false"/>
                <w:bCs w:val="false"/>
                <w:color w:val="1a1a18"/>
                <w:sz w:val="20"/>
                <w:szCs w:val="20"/>
              </w:rPr>
              <w:t xml:space="preserve">3-item intent scale (adapted from Theory of Planned Behaviour)</w:t>
            </w:r>
          </w:p>
        </w:tc>
        <w:tc>
          <w:tcPr>
            <w:tcW w:type="dxa" w:w="3360"/>
            <w:tcBorders>
              <w:top w:val="single" w:color="D3D1C7" w:sz="1"/>
              <w:left w:val="single" w:color="D3D1C7" w:sz="1"/>
              <w:bottom w:val="single" w:color="D3D1C7" w:sz="1"/>
              <w:right w:val="single" w:color="D3D1C7" w:sz="1"/>
            </w:tcBorders>
            <w:shd w:fill="F1EFE8" w:val="clear"/>
            <w:tcMar>
              <w:top w:type="dxa" w:w="80"/>
              <w:left w:type="dxa" w:w="120"/>
              <w:bottom w:type="dxa" w:w="80"/>
              <w:right w:type="dxa" w:w="120"/>
            </w:tcMar>
          </w:tcPr>
          <w:p>
            <w:r>
              <w:rPr>
                <w:rFonts w:ascii="Arial" w:cs="Arial" w:eastAsia="Arial" w:hAnsi="Arial"/>
                <w:b w:val="false"/>
                <w:bCs w:val="false"/>
                <w:color w:val="1a1a18"/>
                <w:sz w:val="20"/>
                <w:szCs w:val="20"/>
              </w:rPr>
              <w:t xml:space="preserve">Immediately post-consultation</w:t>
            </w:r>
          </w:p>
        </w:tc>
      </w:tr>
      <w:tr>
        <w:tc>
          <w:tcPr>
            <w:tcW w:type="dxa" w:w="2600"/>
            <w:tcBorders>
              <w:top w:val="single" w:color="D3D1C7" w:sz="1"/>
              <w:left w:val="single" w:color="D3D1C7" w:sz="1"/>
              <w:bottom w:val="single" w:color="D3D1C7" w:sz="1"/>
              <w:right w:val="single" w:color="D3D1C7"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Patient message recall</w:t>
            </w:r>
          </w:p>
        </w:tc>
        <w:tc>
          <w:tcPr>
            <w:tcW w:type="dxa" w:w="3400"/>
            <w:tcBorders>
              <w:top w:val="single" w:color="D3D1C7" w:sz="1"/>
              <w:left w:val="single" w:color="D3D1C7" w:sz="1"/>
              <w:bottom w:val="single" w:color="D3D1C7" w:sz="1"/>
              <w:right w:val="single" w:color="D3D1C7"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3-item free-recall survey</w:t>
            </w:r>
          </w:p>
        </w:tc>
        <w:tc>
          <w:tcPr>
            <w:tcW w:type="dxa" w:w="3360"/>
            <w:tcBorders>
              <w:top w:val="single" w:color="D3D1C7" w:sz="1"/>
              <w:left w:val="single" w:color="D3D1C7" w:sz="1"/>
              <w:bottom w:val="single" w:color="D3D1C7" w:sz="1"/>
              <w:right w:val="single" w:color="D3D1C7"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48–72 hours post-consultation (SMS/email)</w:t>
            </w:r>
          </w:p>
        </w:tc>
      </w:tr>
      <w:tr>
        <w:tc>
          <w:tcPr>
            <w:tcW w:type="dxa" w:w="2600"/>
            <w:tcBorders>
              <w:top w:val="single" w:color="D3D1C7" w:sz="1"/>
              <w:left w:val="single" w:color="D3D1C7" w:sz="1"/>
              <w:bottom w:val="single" w:color="D3D1C7" w:sz="1"/>
              <w:right w:val="single" w:color="D3D1C7" w:sz="1"/>
            </w:tcBorders>
            <w:shd w:fill="F1EFE8" w:val="clear"/>
            <w:tcMar>
              <w:top w:type="dxa" w:w="80"/>
              <w:left w:type="dxa" w:w="120"/>
              <w:bottom w:type="dxa" w:w="80"/>
              <w:right w:type="dxa" w:w="120"/>
            </w:tcMar>
          </w:tcPr>
          <w:p>
            <w:r>
              <w:rPr>
                <w:rFonts w:ascii="Arial" w:cs="Arial" w:eastAsia="Arial" w:hAnsi="Arial"/>
                <w:b w:val="false"/>
                <w:bCs w:val="false"/>
                <w:color w:val="1a1a18"/>
                <w:sz w:val="20"/>
                <w:szCs w:val="20"/>
              </w:rPr>
              <w:t xml:space="preserve">Goal-setting</w:t>
            </w:r>
          </w:p>
        </w:tc>
        <w:tc>
          <w:tcPr>
            <w:tcW w:type="dxa" w:w="3400"/>
            <w:tcBorders>
              <w:top w:val="single" w:color="D3D1C7" w:sz="1"/>
              <w:left w:val="single" w:color="D3D1C7" w:sz="1"/>
              <w:bottom w:val="single" w:color="D3D1C7" w:sz="1"/>
              <w:right w:val="single" w:color="D3D1C7" w:sz="1"/>
            </w:tcBorders>
            <w:shd w:fill="F1EFE8" w:val="clear"/>
            <w:tcMar>
              <w:top w:type="dxa" w:w="80"/>
              <w:left w:type="dxa" w:w="120"/>
              <w:bottom w:type="dxa" w:w="80"/>
              <w:right w:type="dxa" w:w="120"/>
            </w:tcMar>
          </w:tcPr>
          <w:p>
            <w:r>
              <w:rPr>
                <w:rFonts w:ascii="Arial" w:cs="Arial" w:eastAsia="Arial" w:hAnsi="Arial"/>
                <w:b w:val="false"/>
                <w:bCs w:val="false"/>
                <w:color w:val="1a1a18"/>
                <w:sz w:val="20"/>
                <w:szCs w:val="20"/>
              </w:rPr>
              <w:t xml:space="preserve">Single item: specific health goal agreed during visit (Y/N + description)</w:t>
            </w:r>
          </w:p>
        </w:tc>
        <w:tc>
          <w:tcPr>
            <w:tcW w:type="dxa" w:w="3360"/>
            <w:tcBorders>
              <w:top w:val="single" w:color="D3D1C7" w:sz="1"/>
              <w:left w:val="single" w:color="D3D1C7" w:sz="1"/>
              <w:bottom w:val="single" w:color="D3D1C7" w:sz="1"/>
              <w:right w:val="single" w:color="D3D1C7" w:sz="1"/>
            </w:tcBorders>
            <w:shd w:fill="F1EFE8" w:val="clear"/>
            <w:tcMar>
              <w:top w:type="dxa" w:w="80"/>
              <w:left w:type="dxa" w:w="120"/>
              <w:bottom w:type="dxa" w:w="80"/>
              <w:right w:type="dxa" w:w="120"/>
            </w:tcMar>
          </w:tcPr>
          <w:p>
            <w:r>
              <w:rPr>
                <w:rFonts w:ascii="Arial" w:cs="Arial" w:eastAsia="Arial" w:hAnsi="Arial"/>
                <w:b w:val="false"/>
                <w:bCs w:val="false"/>
                <w:color w:val="1a1a18"/>
                <w:sz w:val="20"/>
                <w:szCs w:val="20"/>
              </w:rPr>
              <w:t xml:space="preserve">Immediately post-consultation</w:t>
            </w:r>
          </w:p>
        </w:tc>
      </w:tr>
      <w:tr>
        <w:tc>
          <w:tcPr>
            <w:tcW w:type="dxa" w:w="2600"/>
            <w:tcBorders>
              <w:top w:val="single" w:color="D3D1C7" w:sz="1"/>
              <w:left w:val="single" w:color="D3D1C7" w:sz="1"/>
              <w:bottom w:val="single" w:color="D3D1C7" w:sz="1"/>
              <w:right w:val="single" w:color="D3D1C7"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Clinician experience</w:t>
            </w:r>
          </w:p>
        </w:tc>
        <w:tc>
          <w:tcPr>
            <w:tcW w:type="dxa" w:w="3400"/>
            <w:tcBorders>
              <w:top w:val="single" w:color="D3D1C7" w:sz="1"/>
              <w:left w:val="single" w:color="D3D1C7" w:sz="1"/>
              <w:bottom w:val="single" w:color="D3D1C7" w:sz="1"/>
              <w:right w:val="single" w:color="D3D1C7"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10-item usability and satisfaction survey</w:t>
            </w:r>
          </w:p>
        </w:tc>
        <w:tc>
          <w:tcPr>
            <w:tcW w:type="dxa" w:w="3360"/>
            <w:tcBorders>
              <w:top w:val="single" w:color="D3D1C7" w:sz="1"/>
              <w:left w:val="single" w:color="D3D1C7" w:sz="1"/>
              <w:bottom w:val="single" w:color="D3D1C7" w:sz="1"/>
              <w:right w:val="single" w:color="D3D1C7"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Monthly and at study close</w:t>
            </w:r>
          </w:p>
        </w:tc>
      </w:tr>
      <w:tr>
        <w:tc>
          <w:tcPr>
            <w:tcW w:type="dxa" w:w="2600"/>
            <w:tcBorders>
              <w:top w:val="single" w:color="D3D1C7" w:sz="1"/>
              <w:left w:val="single" w:color="D3D1C7" w:sz="1"/>
              <w:bottom w:val="single" w:color="D3D1C7" w:sz="1"/>
              <w:right w:val="single" w:color="D3D1C7" w:sz="1"/>
            </w:tcBorders>
            <w:shd w:fill="F1EFE8" w:val="clear"/>
            <w:tcMar>
              <w:top w:type="dxa" w:w="80"/>
              <w:left w:type="dxa" w:w="120"/>
              <w:bottom w:type="dxa" w:w="80"/>
              <w:right w:type="dxa" w:w="120"/>
            </w:tcMar>
          </w:tcPr>
          <w:p>
            <w:r>
              <w:rPr>
                <w:rFonts w:ascii="Arial" w:cs="Arial" w:eastAsia="Arial" w:hAnsi="Arial"/>
                <w:b w:val="false"/>
                <w:bCs w:val="false"/>
                <w:color w:val="1a1a18"/>
                <w:sz w:val="20"/>
                <w:szCs w:val="20"/>
              </w:rPr>
              <w:t xml:space="preserve">Consultation time impact</w:t>
            </w:r>
          </w:p>
        </w:tc>
        <w:tc>
          <w:tcPr>
            <w:tcW w:type="dxa" w:w="3400"/>
            <w:tcBorders>
              <w:top w:val="single" w:color="D3D1C7" w:sz="1"/>
              <w:left w:val="single" w:color="D3D1C7" w:sz="1"/>
              <w:bottom w:val="single" w:color="D3D1C7" w:sz="1"/>
              <w:right w:val="single" w:color="D3D1C7" w:sz="1"/>
            </w:tcBorders>
            <w:shd w:fill="F1EFE8" w:val="clear"/>
            <w:tcMar>
              <w:top w:type="dxa" w:w="80"/>
              <w:left w:type="dxa" w:w="120"/>
              <w:bottom w:type="dxa" w:w="80"/>
              <w:right w:type="dxa" w:w="120"/>
            </w:tcMar>
          </w:tcPr>
          <w:p>
            <w:r>
              <w:rPr>
                <w:rFonts w:ascii="Arial" w:cs="Arial" w:eastAsia="Arial" w:hAnsi="Arial"/>
                <w:b w:val="false"/>
                <w:bCs w:val="false"/>
                <w:color w:val="1a1a18"/>
                <w:sz w:val="20"/>
                <w:szCs w:val="20"/>
              </w:rPr>
              <w:t xml:space="preserve">Clinician-estimated additional time (minutes)</w:t>
            </w:r>
          </w:p>
        </w:tc>
        <w:tc>
          <w:tcPr>
            <w:tcW w:type="dxa" w:w="3360"/>
            <w:tcBorders>
              <w:top w:val="single" w:color="D3D1C7" w:sz="1"/>
              <w:left w:val="single" w:color="D3D1C7" w:sz="1"/>
              <w:bottom w:val="single" w:color="D3D1C7" w:sz="1"/>
              <w:right w:val="single" w:color="D3D1C7" w:sz="1"/>
            </w:tcBorders>
            <w:shd w:fill="F1EFE8" w:val="clear"/>
            <w:tcMar>
              <w:top w:type="dxa" w:w="80"/>
              <w:left w:type="dxa" w:w="120"/>
              <w:bottom w:type="dxa" w:w="80"/>
              <w:right w:type="dxa" w:w="120"/>
            </w:tcMar>
          </w:tcPr>
          <w:p>
            <w:r>
              <w:rPr>
                <w:rFonts w:ascii="Arial" w:cs="Arial" w:eastAsia="Arial" w:hAnsi="Arial"/>
                <w:b w:val="false"/>
                <w:bCs w:val="false"/>
                <w:color w:val="1a1a18"/>
                <w:sz w:val="20"/>
                <w:szCs w:val="20"/>
              </w:rPr>
              <w:t xml:space="preserve">Post-consultation checklist</w:t>
            </w:r>
          </w:p>
        </w:tc>
      </w:tr>
      <w:tr>
        <w:tc>
          <w:tcPr>
            <w:tcW w:type="dxa" w:w="2600"/>
            <w:tcBorders>
              <w:top w:val="single" w:color="D3D1C7" w:sz="1"/>
              <w:left w:val="single" w:color="D3D1C7" w:sz="1"/>
              <w:bottom w:val="single" w:color="D3D1C7" w:sz="1"/>
              <w:right w:val="single" w:color="D3D1C7"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EHR risk factor documentation</w:t>
            </w:r>
          </w:p>
        </w:tc>
        <w:tc>
          <w:tcPr>
            <w:tcW w:type="dxa" w:w="3400"/>
            <w:tcBorders>
              <w:top w:val="single" w:color="D3D1C7" w:sz="1"/>
              <w:left w:val="single" w:color="D3D1C7" w:sz="1"/>
              <w:bottom w:val="single" w:color="D3D1C7" w:sz="1"/>
              <w:right w:val="single" w:color="D3D1C7"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Chart audit of documented lifestyle factors</w:t>
            </w:r>
          </w:p>
        </w:tc>
        <w:tc>
          <w:tcPr>
            <w:tcW w:type="dxa" w:w="3360"/>
            <w:tcBorders>
              <w:top w:val="single" w:color="D3D1C7" w:sz="1"/>
              <w:left w:val="single" w:color="D3D1C7" w:sz="1"/>
              <w:bottom w:val="single" w:color="D3D1C7" w:sz="1"/>
              <w:right w:val="single" w:color="D3D1C7"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Pre- vs post-intervention (subsample)</w:t>
            </w:r>
          </w:p>
        </w:tc>
      </w:tr>
    </w:tbl>
    <w:p>
      <w:pPr>
        <w:spacing w:after="0" w:before="120"/>
      </w:pPr>
      <w:r>
        <w:t xml:space="preserve"/>
      </w:r>
    </w:p>
    <w:p>
      <w:pPr>
        <w:pStyle w:val="Heading1"/>
        <w:pBdr>
          <w:bottom w:val="single" w:color="639922" w:sz="4" w:space="4"/>
        </w:pBdr>
        <w:spacing w:after="120" w:before="360"/>
      </w:pPr>
      <w:r>
        <w:rPr>
          <w:rFonts w:ascii="Arial" w:cs="Arial" w:eastAsia="Arial" w:hAnsi="Arial"/>
          <w:b/>
          <w:bCs/>
          <w:color w:val="27500A"/>
          <w:sz w:val="28"/>
          <w:szCs w:val="28"/>
        </w:rPr>
        <w:t xml:space="preserve">7. Sample size</w:t>
      </w:r>
    </w:p>
    <w:p>
      <w:pPr>
        <w:spacing w:after="100" w:before="60"/>
      </w:pPr>
      <w:r>
        <w:rPr>
          <w:rFonts w:ascii="Arial" w:cs="Arial" w:eastAsia="Arial" w:hAnsi="Arial"/>
          <w:color w:val="1a1a18"/>
          <w:sz w:val="22"/>
          <w:szCs w:val="22"/>
        </w:rPr>
        <w:t xml:space="preserve">Based on published PAM-13 data, a standard deviation of approximately 17 points is expected. To detect a minimum clinically important difference of 7 points with 80% power at a two-sided alpha of 0.05, accounting for clustering (intraclass correlation coefficient estimated at 0.05) and the stepped-wedge design, a minimum of 480 consultation observations across 8–12 clinics is required.</w:t>
      </w:r>
    </w:p>
    <w:p>
      <w:pPr>
        <w:spacing w:after="0" w:before="60"/>
      </w:pPr>
      <w:r>
        <w:t xml:space="preserve"/>
      </w:r>
    </w:p>
    <w:p>
      <w:pPr>
        <w:spacing w:after="100" w:before="60"/>
      </w:pPr>
      <w:r>
        <w:rPr>
          <w:rFonts w:ascii="Arial" w:cs="Arial" w:eastAsia="Arial" w:hAnsi="Arial"/>
          <w:color w:val="1a1a18"/>
          <w:sz w:val="22"/>
          <w:szCs w:val="22"/>
        </w:rPr>
        <w:t xml:space="preserve">Targeting 10 clinics with 25 eligible consultations per measurement period (two periods each) yields approximately 500 observations. With a 15% allowance for missing data, a target of 600 enrolled consultations across all sites is recommended.</w:t>
      </w:r>
    </w:p>
    <w:p>
      <w:pPr>
        <w:spacing w:after="0" w:before="60"/>
      </w:pPr>
      <w:r>
        <w:t xml:space="preserve"/>
      </w:r>
    </w:p>
    <w:p>
      <w:pPr>
        <w:spacing w:after="100" w:before="60"/>
      </w:pPr>
      <w:r>
        <w:rPr>
          <w:rFonts w:ascii="Arial" w:cs="Arial" w:eastAsia="Arial" w:hAnsi="Arial"/>
          <w:color w:val="1a1a18"/>
          <w:sz w:val="22"/>
          <w:szCs w:val="22"/>
        </w:rPr>
        <w:t xml:space="preserve">A target of 8–15 clinics provides adequate power under a range of assumptions and allows for up to two site withdrawals without compromising the primary analysis.</w:t>
      </w:r>
    </w:p>
    <w:p>
      <w:pPr>
        <w:spacing w:after="0" w:before="120"/>
      </w:pPr>
      <w:r>
        <w:t xml:space="preserve"/>
      </w:r>
    </w:p>
    <w:p>
      <w:pPr>
        <w:pStyle w:val="Heading1"/>
        <w:pBdr>
          <w:bottom w:val="single" w:color="639922" w:sz="4" w:space="4"/>
        </w:pBdr>
        <w:spacing w:after="120" w:before="360"/>
      </w:pPr>
      <w:r>
        <w:rPr>
          <w:rFonts w:ascii="Arial" w:cs="Arial" w:eastAsia="Arial" w:hAnsi="Arial"/>
          <w:b/>
          <w:bCs/>
          <w:color w:val="27500A"/>
          <w:sz w:val="28"/>
          <w:szCs w:val="28"/>
        </w:rPr>
        <w:t xml:space="preserve">8. Data collection and management</w:t>
      </w:r>
    </w:p>
    <w:p>
      <w:pPr>
        <w:pStyle w:val="Heading2"/>
        <w:spacing w:after="80" w:before="240"/>
      </w:pPr>
      <w:r>
        <w:rPr>
          <w:rFonts w:ascii="Arial" w:cs="Arial" w:eastAsia="Arial" w:hAnsi="Arial"/>
          <w:b/>
          <w:bCs/>
          <w:color w:val="27500A"/>
          <w:sz w:val="24"/>
          <w:szCs w:val="24"/>
        </w:rPr>
        <w:t xml:space="preserve">8.1 Data collection</w:t>
      </w:r>
    </w:p>
    <w:p>
      <w:pPr>
        <w:pStyle w:val="ListParagraph"/>
        <w:numPr>
          <w:ilvl w:val="0"/>
          <w:numId w:val="2"/>
        </w:numPr>
        <w:spacing w:after="40" w:before="40"/>
      </w:pPr>
      <w:r>
        <w:rPr>
          <w:rFonts w:ascii="Arial" w:cs="Arial" w:eastAsia="Arial" w:hAnsi="Arial"/>
          <w:b w:val="false"/>
          <w:bCs w:val="false"/>
          <w:color w:val="1a1a18"/>
          <w:sz w:val="22"/>
          <w:szCs w:val="22"/>
        </w:rPr>
        <w:t xml:space="preserve">Patient PAM-13 and intent scale: paper or digital survey administered in clinic immediately post-consultation</w:t>
      </w:r>
    </w:p>
    <w:p>
      <w:pPr>
        <w:pStyle w:val="ListParagraph"/>
        <w:numPr>
          <w:ilvl w:val="0"/>
          <w:numId w:val="2"/>
        </w:numPr>
        <w:spacing w:after="40" w:before="40"/>
      </w:pPr>
      <w:r>
        <w:rPr>
          <w:rFonts w:ascii="Arial" w:cs="Arial" w:eastAsia="Arial" w:hAnsi="Arial"/>
          <w:b w:val="false"/>
          <w:bCs w:val="false"/>
          <w:color w:val="1a1a18"/>
          <w:sz w:val="22"/>
          <w:szCs w:val="22"/>
        </w:rPr>
        <w:t xml:space="preserve">Clinician checklist: brief digital form completed by clinician within 10 minutes of each enrolled consultation</w:t>
      </w:r>
    </w:p>
    <w:p>
      <w:pPr>
        <w:pStyle w:val="ListParagraph"/>
        <w:numPr>
          <w:ilvl w:val="0"/>
          <w:numId w:val="2"/>
        </w:numPr>
        <w:spacing w:after="40" w:before="40"/>
      </w:pPr>
      <w:r>
        <w:rPr>
          <w:rFonts w:ascii="Arial" w:cs="Arial" w:eastAsia="Arial" w:hAnsi="Arial"/>
          <w:b w:val="false"/>
          <w:bCs w:val="false"/>
          <w:color w:val="1a1a18"/>
          <w:sz w:val="22"/>
          <w:szCs w:val="22"/>
        </w:rPr>
        <w:t xml:space="preserve">Follow-up recall survey: automated SMS or email link sent 48 hours post-consultation</w:t>
      </w:r>
    </w:p>
    <w:p>
      <w:pPr>
        <w:pStyle w:val="ListParagraph"/>
        <w:numPr>
          <w:ilvl w:val="0"/>
          <w:numId w:val="2"/>
        </w:numPr>
        <w:spacing w:after="40" w:before="40"/>
      </w:pPr>
      <w:r>
        <w:rPr>
          <w:rFonts w:ascii="Arial" w:cs="Arial" w:eastAsia="Arial" w:hAnsi="Arial"/>
          <w:b w:val="false"/>
          <w:bCs w:val="false"/>
          <w:color w:val="1a1a18"/>
          <w:sz w:val="22"/>
          <w:szCs w:val="22"/>
        </w:rPr>
        <w:t xml:space="preserve">Clinician experience survey: monthly REDCap form distributed to all participating clinicians</w:t>
      </w:r>
    </w:p>
    <w:p>
      <w:pPr>
        <w:pStyle w:val="ListParagraph"/>
        <w:numPr>
          <w:ilvl w:val="0"/>
          <w:numId w:val="2"/>
        </w:numPr>
        <w:spacing w:after="40" w:before="40"/>
      </w:pPr>
      <w:r>
        <w:rPr>
          <w:rFonts w:ascii="Arial" w:cs="Arial" w:eastAsia="Arial" w:hAnsi="Arial"/>
          <w:b w:val="false"/>
          <w:bCs w:val="false"/>
          <w:color w:val="1a1a18"/>
          <w:sz w:val="22"/>
          <w:szCs w:val="22"/>
        </w:rPr>
        <w:t xml:space="preserve">Site-level data: consultation volume, number of eligible vs enrolled, reason for non-enrolment</w:t>
      </w:r>
    </w:p>
    <w:p>
      <w:pPr>
        <w:spacing w:after="0" w:before="80"/>
      </w:pPr>
      <w:r>
        <w:t xml:space="preserve"/>
      </w:r>
    </w:p>
    <w:p>
      <w:pPr>
        <w:pStyle w:val="Heading2"/>
        <w:spacing w:after="80" w:before="240"/>
      </w:pPr>
      <w:r>
        <w:rPr>
          <w:rFonts w:ascii="Arial" w:cs="Arial" w:eastAsia="Arial" w:hAnsi="Arial"/>
          <w:b/>
          <w:bCs/>
          <w:color w:val="27500A"/>
          <w:sz w:val="24"/>
          <w:szCs w:val="24"/>
        </w:rPr>
        <w:t xml:space="preserve">8.2 Data management</w:t>
      </w:r>
    </w:p>
    <w:p>
      <w:pPr>
        <w:spacing w:after="100" w:before="60"/>
      </w:pPr>
      <w:r>
        <w:rPr>
          <w:rFonts w:ascii="Arial" w:cs="Arial" w:eastAsia="Arial" w:hAnsi="Arial"/>
          <w:color w:val="1a1a18"/>
          <w:sz w:val="22"/>
          <w:szCs w:val="22"/>
        </w:rPr>
        <w:t xml:space="preserve">All data will be collected and stored in REDCap (Research Electronic Data Capture). Patient identifiers will not be collected; consultations will be linked by a site-generated alphanumeric code. Data will be stored on encrypted servers compliant with applicable data protection legislation (HIPAA / local equivalent).</w:t>
      </w:r>
    </w:p>
    <w:p>
      <w:pPr>
        <w:spacing w:after="0" w:before="120"/>
      </w:pPr>
      <w:r>
        <w:t xml:space="preserve"/>
      </w:r>
    </w:p>
    <w:p>
      <w:pPr>
        <w:pStyle w:val="Heading1"/>
        <w:pBdr>
          <w:bottom w:val="single" w:color="639922" w:sz="4" w:space="4"/>
        </w:pBdr>
        <w:spacing w:after="120" w:before="360"/>
      </w:pPr>
      <w:r>
        <w:rPr>
          <w:rFonts w:ascii="Arial" w:cs="Arial" w:eastAsia="Arial" w:hAnsi="Arial"/>
          <w:b/>
          <w:bCs/>
          <w:color w:val="27500A"/>
          <w:sz w:val="28"/>
          <w:szCs w:val="28"/>
        </w:rPr>
        <w:t xml:space="preserve">9. Statistical analysis</w:t>
      </w:r>
    </w:p>
    <w:p>
      <w:pPr>
        <w:spacing w:after="100" w:before="60"/>
      </w:pPr>
      <w:r>
        <w:rPr>
          <w:rFonts w:ascii="Arial" w:cs="Arial" w:eastAsia="Arial" w:hAnsi="Arial"/>
          <w:color w:val="1a1a18"/>
          <w:sz w:val="22"/>
          <w:szCs w:val="22"/>
        </w:rPr>
        <w:t xml:space="preserve">The primary analysis will use a linear mixed-effects model appropriate for stepped-wedge designs, with consultation as the unit of analysis, clinic as a random effect, time period as a fixed effect, and intervention status (tool vs no tool) as the primary predictor. PAM-13 score will be the dependent variable.</w:t>
      </w:r>
    </w:p>
    <w:p>
      <w:pPr>
        <w:spacing w:after="0" w:before="60"/>
      </w:pPr>
      <w:r>
        <w:t xml:space="preserve"/>
      </w:r>
    </w:p>
    <w:p>
      <w:pPr>
        <w:spacing w:after="100" w:before="60"/>
      </w:pPr>
      <w:r>
        <w:rPr>
          <w:rFonts w:ascii="Arial" w:cs="Arial" w:eastAsia="Arial" w:hAnsi="Arial"/>
          <w:color w:val="1a1a18"/>
          <w:sz w:val="22"/>
          <w:szCs w:val="22"/>
        </w:rPr>
        <w:t xml:space="preserve">Secondary outcomes will be analysed using appropriate generalised linear mixed models (logistic for binary outcomes, linear for continuous). All analyses will be conducted on an intention-to-treat basis. A per-protocol sensitivity analysis will exclude consultations where the clinician did not use the tool as intended.</w:t>
      </w:r>
    </w:p>
    <w:p>
      <w:pPr>
        <w:spacing w:after="0" w:before="60"/>
      </w:pPr>
      <w:r>
        <w:t xml:space="preserve"/>
      </w:r>
    </w:p>
    <w:p>
      <w:pPr>
        <w:spacing w:after="100" w:before="60"/>
      </w:pPr>
      <w:r>
        <w:rPr>
          <w:rFonts w:ascii="Arial" w:cs="Arial" w:eastAsia="Arial" w:hAnsi="Arial"/>
          <w:color w:val="1a1a18"/>
          <w:sz w:val="22"/>
          <w:szCs w:val="22"/>
        </w:rPr>
        <w:t xml:space="preserve">Subgroup analyses will explore whether effects differ by patient age, health state, number of risk factors, and clinic type. These are exploratory and will be interpreted accordingly.</w:t>
      </w:r>
    </w:p>
    <w:p>
      <w:pPr>
        <w:spacing w:after="0" w:before="120"/>
      </w:pPr>
      <w:r>
        <w:t xml:space="preserve"/>
      </w:r>
    </w:p>
    <w:p>
      <w:pPr>
        <w:pStyle w:val="Heading1"/>
        <w:pBdr>
          <w:bottom w:val="single" w:color="639922" w:sz="4" w:space="4"/>
        </w:pBdr>
        <w:spacing w:after="120" w:before="360"/>
      </w:pPr>
      <w:r>
        <w:rPr>
          <w:rFonts w:ascii="Arial" w:cs="Arial" w:eastAsia="Arial" w:hAnsi="Arial"/>
          <w:b/>
          <w:bCs/>
          <w:color w:val="27500A"/>
          <w:sz w:val="28"/>
          <w:szCs w:val="28"/>
        </w:rPr>
        <w:t xml:space="preserve">10. Ethics and governance</w:t>
      </w:r>
    </w:p>
    <w:p>
      <w:pPr>
        <w:spacing w:after="100" w:before="60"/>
      </w:pPr>
      <w:r>
        <w:rPr>
          <w:rFonts w:ascii="Arial" w:cs="Arial" w:eastAsia="Arial" w:hAnsi="Arial"/>
          <w:color w:val="1a1a18"/>
          <w:sz w:val="22"/>
          <w:szCs w:val="22"/>
        </w:rPr>
        <w:t xml:space="preserve">This study involves a change to the structure of clinical communication but no change to clinical investigation, treatment, or prescribing. It therefore qualifies as a quality improvement study in most jurisdictions and is expected to be eligible for expedited ethical review or, in some settings, quality improvement exemption.</w:t>
      </w:r>
    </w:p>
    <w:p>
      <w:pPr>
        <w:spacing w:after="0" w:before="60"/>
      </w:pPr>
      <w:r>
        <w:t xml:space="preserve"/>
      </w:r>
    </w:p>
    <w:p>
      <w:pPr>
        <w:spacing w:after="100" w:before="60"/>
      </w:pPr>
      <w:r>
        <w:rPr>
          <w:rFonts w:ascii="Arial" w:cs="Arial" w:eastAsia="Arial" w:hAnsi="Arial"/>
          <w:color w:val="1a1a18"/>
          <w:sz w:val="22"/>
          <w:szCs w:val="22"/>
        </w:rPr>
        <w:t xml:space="preserve">All participating patients will be provided with a brief information statement and will provide verbal consent to completion of the post-consultation survey and follow-up contact. Written informed consent will be sought where required by local ethics committees.</w:t>
      </w:r>
    </w:p>
    <w:p>
      <w:pPr>
        <w:spacing w:after="0" w:before="60"/>
      </w:pPr>
      <w:r>
        <w:t xml:space="preserve"/>
      </w:r>
    </w:p>
    <w:p>
      <w:pPr>
        <w:spacing w:after="100" w:before="60"/>
      </w:pPr>
      <w:r>
        <w:rPr>
          <w:rFonts w:ascii="Arial" w:cs="Arial" w:eastAsia="Arial" w:hAnsi="Arial"/>
          <w:color w:val="1a1a18"/>
          <w:sz w:val="22"/>
          <w:szCs w:val="22"/>
        </w:rPr>
        <w:t xml:space="preserve">Participating clinics are responsible for obtaining local ethics approval or quality improvement designation as required by their institution. The study team will provide a template ethics application and supporting materials.</w:t>
      </w:r>
    </w:p>
    <w:p>
      <w:pPr>
        <w:spacing w:after="0" w:before="60"/>
      </w:pPr>
      <w:r>
        <w:t xml:space="preserve"/>
      </w:r>
    </w:p>
    <w:p>
      <w:pPr>
        <w:spacing w:after="100" w:before="60"/>
      </w:pPr>
      <w:r>
        <w:rPr>
          <w:rFonts w:ascii="Arial" w:cs="Arial" w:eastAsia="Arial" w:hAnsi="Arial"/>
          <w:color w:val="1a1a18"/>
          <w:sz w:val="22"/>
          <w:szCs w:val="22"/>
        </w:rPr>
        <w:t xml:space="preserve">Patient data will not be identifiable in any publication or report. Clinician and clinic data will be reported in aggregate unless explicit consent for named attribution is obtained.</w:t>
      </w:r>
    </w:p>
    <w:p>
      <w:pPr>
        <w:spacing w:after="0" w:before="120"/>
      </w:pPr>
      <w:r>
        <w:t xml:space="preserve"/>
      </w:r>
    </w:p>
    <w:p>
      <w:pPr>
        <w:pStyle w:val="Heading1"/>
        <w:pBdr>
          <w:bottom w:val="single" w:color="639922" w:sz="4" w:space="4"/>
        </w:pBdr>
        <w:spacing w:after="120" w:before="360"/>
      </w:pPr>
      <w:r>
        <w:rPr>
          <w:rFonts w:ascii="Arial" w:cs="Arial" w:eastAsia="Arial" w:hAnsi="Arial"/>
          <w:b/>
          <w:bCs/>
          <w:color w:val="27500A"/>
          <w:sz w:val="28"/>
          <w:szCs w:val="28"/>
        </w:rPr>
        <w:t xml:space="preserve">11. Roles and responsibilities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D3D1C7" w:sz="1"/>
              <w:left w:val="single" w:color="D3D1C7" w:sz="1"/>
              <w:bottom w:val="single" w:color="D3D1C7" w:sz="1"/>
              <w:right w:val="single" w:color="D3D1C7" w:sz="1"/>
            </w:tcBorders>
            <w:shd w:fill="EAF3DE" w:val="clear"/>
            <w:tcMar>
              <w:top w:type="dxa" w:w="80"/>
              <w:left w:type="dxa" w:w="120"/>
              <w:bottom w:type="dxa" w:w="80"/>
              <w:right w:type="dxa" w:w="120"/>
            </w:tcMar>
          </w:tcPr>
          <w:p>
            <w:r>
              <w:rPr>
                <w:rFonts w:ascii="Arial" w:cs="Arial" w:eastAsia="Arial" w:hAnsi="Arial"/>
                <w:b/>
                <w:bCs/>
                <w:color w:val="27500A"/>
                <w:sz w:val="20"/>
                <w:szCs w:val="20"/>
              </w:rPr>
              <w:t xml:space="preserve">Role</w:t>
            </w:r>
          </w:p>
        </w:tc>
        <w:tc>
          <w:tcPr>
            <w:tcW w:type="dxa" w:w="6360"/>
            <w:tcBorders>
              <w:top w:val="single" w:color="D3D1C7" w:sz="1"/>
              <w:left w:val="single" w:color="D3D1C7" w:sz="1"/>
              <w:bottom w:val="single" w:color="D3D1C7" w:sz="1"/>
              <w:right w:val="single" w:color="D3D1C7" w:sz="1"/>
            </w:tcBorders>
            <w:shd w:fill="EAF3DE" w:val="clear"/>
            <w:tcMar>
              <w:top w:type="dxa" w:w="80"/>
              <w:left w:type="dxa" w:w="120"/>
              <w:bottom w:type="dxa" w:w="80"/>
              <w:right w:type="dxa" w:w="120"/>
            </w:tcMar>
          </w:tcPr>
          <w:p>
            <w:r>
              <w:rPr>
                <w:rFonts w:ascii="Arial" w:cs="Arial" w:eastAsia="Arial" w:hAnsi="Arial"/>
                <w:b/>
                <w:bCs/>
                <w:color w:val="27500A"/>
                <w:sz w:val="20"/>
                <w:szCs w:val="20"/>
              </w:rPr>
              <w:t xml:space="preserve">Responsibilities</w:t>
            </w:r>
          </w:p>
        </w:tc>
      </w:tr>
      <w:tr>
        <w:tc>
          <w:tcPr>
            <w:tcW w:type="dxa" w:w="3000"/>
            <w:tcBorders>
              <w:top w:val="single" w:color="D3D1C7" w:sz="1"/>
              <w:left w:val="single" w:color="D3D1C7" w:sz="1"/>
              <w:bottom w:val="single" w:color="D3D1C7" w:sz="1"/>
              <w:right w:val="single" w:color="D3D1C7"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Principal investigator</w:t>
            </w:r>
          </w:p>
        </w:tc>
        <w:tc>
          <w:tcPr>
            <w:tcW w:type="dxa" w:w="6360"/>
            <w:tcBorders>
              <w:top w:val="single" w:color="D3D1C7" w:sz="1"/>
              <w:left w:val="single" w:color="D3D1C7" w:sz="1"/>
              <w:bottom w:val="single" w:color="D3D1C7" w:sz="1"/>
              <w:right w:val="single" w:color="D3D1C7"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Overall study design, ethics oversight, analysis, publication</w:t>
            </w:r>
          </w:p>
        </w:tc>
      </w:tr>
      <w:tr>
        <w:tc>
          <w:tcPr>
            <w:tcW w:type="dxa" w:w="3000"/>
            <w:tcBorders>
              <w:top w:val="single" w:color="D3D1C7" w:sz="1"/>
              <w:left w:val="single" w:color="D3D1C7" w:sz="1"/>
              <w:bottom w:val="single" w:color="D3D1C7" w:sz="1"/>
              <w:right w:val="single" w:color="D3D1C7" w:sz="1"/>
            </w:tcBorders>
            <w:shd w:fill="F1EFE8" w:val="clear"/>
            <w:tcMar>
              <w:top w:type="dxa" w:w="80"/>
              <w:left w:type="dxa" w:w="120"/>
              <w:bottom w:type="dxa" w:w="80"/>
              <w:right w:type="dxa" w:w="120"/>
            </w:tcMar>
          </w:tcPr>
          <w:p>
            <w:r>
              <w:rPr>
                <w:rFonts w:ascii="Arial" w:cs="Arial" w:eastAsia="Arial" w:hAnsi="Arial"/>
                <w:b w:val="false"/>
                <w:bCs w:val="false"/>
                <w:color w:val="1a1a18"/>
                <w:sz w:val="20"/>
                <w:szCs w:val="20"/>
              </w:rPr>
              <w:t xml:space="preserve">Site principal investigator</w:t>
            </w:r>
          </w:p>
        </w:tc>
        <w:tc>
          <w:tcPr>
            <w:tcW w:type="dxa" w:w="6360"/>
            <w:tcBorders>
              <w:top w:val="single" w:color="D3D1C7" w:sz="1"/>
              <w:left w:val="single" w:color="D3D1C7" w:sz="1"/>
              <w:bottom w:val="single" w:color="D3D1C7" w:sz="1"/>
              <w:right w:val="single" w:color="D3D1C7" w:sz="1"/>
            </w:tcBorders>
            <w:shd w:fill="F1EFE8" w:val="clear"/>
            <w:tcMar>
              <w:top w:type="dxa" w:w="80"/>
              <w:left w:type="dxa" w:w="120"/>
              <w:bottom w:type="dxa" w:w="80"/>
              <w:right w:type="dxa" w:w="120"/>
            </w:tcMar>
          </w:tcPr>
          <w:p>
            <w:r>
              <w:rPr>
                <w:rFonts w:ascii="Arial" w:cs="Arial" w:eastAsia="Arial" w:hAnsi="Arial"/>
                <w:b w:val="false"/>
                <w:bCs w:val="false"/>
                <w:color w:val="1a1a18"/>
                <w:sz w:val="20"/>
                <w:szCs w:val="20"/>
              </w:rPr>
              <w:t xml:space="preserve">Local ethics liaison, clinician training, site data quality</w:t>
            </w:r>
          </w:p>
        </w:tc>
      </w:tr>
      <w:tr>
        <w:tc>
          <w:tcPr>
            <w:tcW w:type="dxa" w:w="3000"/>
            <w:tcBorders>
              <w:top w:val="single" w:color="D3D1C7" w:sz="1"/>
              <w:left w:val="single" w:color="D3D1C7" w:sz="1"/>
              <w:bottom w:val="single" w:color="D3D1C7" w:sz="1"/>
              <w:right w:val="single" w:color="D3D1C7"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Participating clinician</w:t>
            </w:r>
          </w:p>
        </w:tc>
        <w:tc>
          <w:tcPr>
            <w:tcW w:type="dxa" w:w="6360"/>
            <w:tcBorders>
              <w:top w:val="single" w:color="D3D1C7" w:sz="1"/>
              <w:left w:val="single" w:color="D3D1C7" w:sz="1"/>
              <w:bottom w:val="single" w:color="D3D1C7" w:sz="1"/>
              <w:right w:val="single" w:color="D3D1C7"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Tool use in eligible consultations, checklist completion, patient enrolment</w:t>
            </w:r>
          </w:p>
        </w:tc>
      </w:tr>
      <w:tr>
        <w:tc>
          <w:tcPr>
            <w:tcW w:type="dxa" w:w="3000"/>
            <w:tcBorders>
              <w:top w:val="single" w:color="D3D1C7" w:sz="1"/>
              <w:left w:val="single" w:color="D3D1C7" w:sz="1"/>
              <w:bottom w:val="single" w:color="D3D1C7" w:sz="1"/>
              <w:right w:val="single" w:color="D3D1C7" w:sz="1"/>
            </w:tcBorders>
            <w:shd w:fill="F1EFE8" w:val="clear"/>
            <w:tcMar>
              <w:top w:type="dxa" w:w="80"/>
              <w:left w:type="dxa" w:w="120"/>
              <w:bottom w:type="dxa" w:w="80"/>
              <w:right w:type="dxa" w:w="120"/>
            </w:tcMar>
          </w:tcPr>
          <w:p>
            <w:r>
              <w:rPr>
                <w:rFonts w:ascii="Arial" w:cs="Arial" w:eastAsia="Arial" w:hAnsi="Arial"/>
                <w:b w:val="false"/>
                <w:bCs w:val="false"/>
                <w:color w:val="1a1a18"/>
                <w:sz w:val="20"/>
                <w:szCs w:val="20"/>
              </w:rPr>
              <w:t xml:space="preserve">Research coordinator (per site)</w:t>
            </w:r>
          </w:p>
        </w:tc>
        <w:tc>
          <w:tcPr>
            <w:tcW w:type="dxa" w:w="6360"/>
            <w:tcBorders>
              <w:top w:val="single" w:color="D3D1C7" w:sz="1"/>
              <w:left w:val="single" w:color="D3D1C7" w:sz="1"/>
              <w:bottom w:val="single" w:color="D3D1C7" w:sz="1"/>
              <w:right w:val="single" w:color="D3D1C7" w:sz="1"/>
            </w:tcBorders>
            <w:shd w:fill="F1EFE8" w:val="clear"/>
            <w:tcMar>
              <w:top w:type="dxa" w:w="80"/>
              <w:left w:type="dxa" w:w="120"/>
              <w:bottom w:type="dxa" w:w="80"/>
              <w:right w:type="dxa" w:w="120"/>
            </w:tcMar>
          </w:tcPr>
          <w:p>
            <w:r>
              <w:rPr>
                <w:rFonts w:ascii="Arial" w:cs="Arial" w:eastAsia="Arial" w:hAnsi="Arial"/>
                <w:b w:val="false"/>
                <w:bCs w:val="false"/>
                <w:color w:val="1a1a18"/>
                <w:sz w:val="20"/>
                <w:szCs w:val="20"/>
              </w:rPr>
              <w:t xml:space="preserve">Survey administration, data entry, follow-up survey dispatch</w:t>
            </w:r>
          </w:p>
        </w:tc>
      </w:tr>
      <w:tr>
        <w:tc>
          <w:tcPr>
            <w:tcW w:type="dxa" w:w="3000"/>
            <w:tcBorders>
              <w:top w:val="single" w:color="D3D1C7" w:sz="1"/>
              <w:left w:val="single" w:color="D3D1C7" w:sz="1"/>
              <w:bottom w:val="single" w:color="D3D1C7" w:sz="1"/>
              <w:right w:val="single" w:color="D3D1C7"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Study team</w:t>
            </w:r>
          </w:p>
        </w:tc>
        <w:tc>
          <w:tcPr>
            <w:tcW w:type="dxa" w:w="6360"/>
            <w:tcBorders>
              <w:top w:val="single" w:color="D3D1C7" w:sz="1"/>
              <w:left w:val="single" w:color="D3D1C7" w:sz="1"/>
              <w:bottom w:val="single" w:color="D3D1C7" w:sz="1"/>
              <w:right w:val="single" w:color="D3D1C7"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REDCap management, data monitoring, site support, interim reporting</w:t>
            </w:r>
          </w:p>
        </w:tc>
      </w:tr>
    </w:tbl>
    <w:p>
      <w:pPr>
        <w:spacing w:after="0" w:before="120"/>
      </w:pPr>
      <w:r>
        <w:t xml:space="preserve"/>
      </w:r>
    </w:p>
    <w:p>
      <w:pPr>
        <w:pStyle w:val="Heading1"/>
        <w:pBdr>
          <w:bottom w:val="single" w:color="639922" w:sz="4" w:space="4"/>
        </w:pBdr>
        <w:spacing w:after="120" w:before="360"/>
      </w:pPr>
      <w:r>
        <w:rPr>
          <w:rFonts w:ascii="Arial" w:cs="Arial" w:eastAsia="Arial" w:hAnsi="Arial"/>
          <w:b/>
          <w:bCs/>
          <w:color w:val="27500A"/>
          <w:sz w:val="28"/>
          <w:szCs w:val="28"/>
        </w:rPr>
        <w:t xml:space="preserve">12. Publication and dissemination</w:t>
      </w:r>
    </w:p>
    <w:p>
      <w:pPr>
        <w:spacing w:after="100" w:before="60"/>
      </w:pPr>
      <w:r>
        <w:rPr>
          <w:rFonts w:ascii="Arial" w:cs="Arial" w:eastAsia="Arial" w:hAnsi="Arial"/>
          <w:color w:val="1a1a18"/>
          <w:sz w:val="22"/>
          <w:szCs w:val="22"/>
        </w:rPr>
        <w:t xml:space="preserve">The primary analysis will be written up for submission to a peer-reviewed journal (target: British Journal of General Practice, Annals of Family Medicine, or JMIR Medical Education) within six months of study close. All participating site investigators will be offered co-authorship in accordance with ICMJE criteria.</w:t>
      </w:r>
    </w:p>
    <w:p>
      <w:pPr>
        <w:spacing w:after="0" w:before="60"/>
      </w:pPr>
      <w:r>
        <w:t xml:space="preserve"/>
      </w:r>
    </w:p>
    <w:p>
      <w:pPr>
        <w:spacing w:after="100" w:before="60"/>
      </w:pPr>
      <w:r>
        <w:rPr>
          <w:rFonts w:ascii="Arial" w:cs="Arial" w:eastAsia="Arial" w:hAnsi="Arial"/>
          <w:color w:val="1a1a18"/>
          <w:sz w:val="22"/>
          <w:szCs w:val="22"/>
        </w:rPr>
        <w:t xml:space="preserve">Findings will also be disseminated through: a summary report to all participating clinics; presentation at relevant professional society meetings; a public-facing plain-language summary; and an updated version of the Health Horizon Conversation Tool incorporating any evidence-based refinements identified during the trial.</w:t>
      </w:r>
    </w:p>
    <w:p>
      <w:pPr>
        <w:spacing w:after="0" w:before="60"/>
      </w:pPr>
      <w:r>
        <w:t xml:space="preserve"/>
      </w:r>
    </w:p>
    <w:p>
      <w:pPr>
        <w:spacing w:after="100" w:before="60"/>
      </w:pPr>
      <w:r>
        <w:rPr>
          <w:rFonts w:ascii="Arial" w:cs="Arial" w:eastAsia="Arial" w:hAnsi="Arial"/>
          <w:color w:val="1a1a18"/>
          <w:sz w:val="22"/>
          <w:szCs w:val="22"/>
        </w:rPr>
        <w:t xml:space="preserve">Participating clinics will be formally recognised as founding Health Horizon trial partners in all publications, presentations, and marketing materials (with permission).</w:t>
      </w:r>
    </w:p>
    <w:p>
      <w:pPr>
        <w:spacing w:after="0" w:before="120"/>
      </w:pPr>
      <w:r>
        <w:t xml:space="preserve"/>
      </w:r>
    </w:p>
    <w:p>
      <w:pPr>
        <w:pStyle w:val="Heading1"/>
        <w:pBdr>
          <w:bottom w:val="single" w:color="639922" w:sz="4" w:space="4"/>
        </w:pBdr>
        <w:spacing w:after="120" w:before="360"/>
      </w:pPr>
      <w:r>
        <w:rPr>
          <w:rFonts w:ascii="Arial" w:cs="Arial" w:eastAsia="Arial" w:hAnsi="Arial"/>
          <w:b/>
          <w:bCs/>
          <w:color w:val="27500A"/>
          <w:sz w:val="28"/>
          <w:szCs w:val="28"/>
        </w:rPr>
        <w:t xml:space="preserve">13. Timeline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0"/>
        <w:gridCol w:w="4360"/>
      </w:tblGrid>
      <w:tr>
        <w:tc>
          <w:tcPr>
            <w:tcW w:type="dxa" w:w="5000"/>
            <w:tcBorders>
              <w:top w:val="single" w:color="D3D1C7" w:sz="1"/>
              <w:left w:val="single" w:color="D3D1C7" w:sz="1"/>
              <w:bottom w:val="single" w:color="D3D1C7" w:sz="1"/>
              <w:right w:val="single" w:color="D3D1C7" w:sz="1"/>
            </w:tcBorders>
            <w:shd w:fill="EAF3DE" w:val="clear"/>
            <w:tcMar>
              <w:top w:type="dxa" w:w="80"/>
              <w:left w:type="dxa" w:w="120"/>
              <w:bottom w:type="dxa" w:w="80"/>
              <w:right w:type="dxa" w:w="120"/>
            </w:tcMar>
          </w:tcPr>
          <w:p>
            <w:r>
              <w:rPr>
                <w:rFonts w:ascii="Arial" w:cs="Arial" w:eastAsia="Arial" w:hAnsi="Arial"/>
                <w:b/>
                <w:bCs/>
                <w:color w:val="27500A"/>
                <w:sz w:val="20"/>
                <w:szCs w:val="20"/>
              </w:rPr>
              <w:t xml:space="preserve">Milestone</w:t>
            </w:r>
          </w:p>
        </w:tc>
        <w:tc>
          <w:tcPr>
            <w:tcW w:type="dxa" w:w="4360"/>
            <w:tcBorders>
              <w:top w:val="single" w:color="D3D1C7" w:sz="1"/>
              <w:left w:val="single" w:color="D3D1C7" w:sz="1"/>
              <w:bottom w:val="single" w:color="D3D1C7" w:sz="1"/>
              <w:right w:val="single" w:color="D3D1C7" w:sz="1"/>
            </w:tcBorders>
            <w:shd w:fill="EAF3DE" w:val="clear"/>
            <w:tcMar>
              <w:top w:type="dxa" w:w="80"/>
              <w:left w:type="dxa" w:w="120"/>
              <w:bottom w:type="dxa" w:w="80"/>
              <w:right w:type="dxa" w:w="120"/>
            </w:tcMar>
          </w:tcPr>
          <w:p>
            <w:r>
              <w:rPr>
                <w:rFonts w:ascii="Arial" w:cs="Arial" w:eastAsia="Arial" w:hAnsi="Arial"/>
                <w:b/>
                <w:bCs/>
                <w:color w:val="27500A"/>
                <w:sz w:val="20"/>
                <w:szCs w:val="20"/>
              </w:rPr>
              <w:t xml:space="preserve">Target date</w:t>
            </w:r>
          </w:p>
        </w:tc>
      </w:tr>
      <w:tr>
        <w:tc>
          <w:tcPr>
            <w:tcW w:type="dxa" w:w="5000"/>
            <w:tcBorders>
              <w:top w:val="single" w:color="D3D1C7" w:sz="1"/>
              <w:left w:val="single" w:color="D3D1C7" w:sz="1"/>
              <w:bottom w:val="single" w:color="D3D1C7" w:sz="1"/>
              <w:right w:val="single" w:color="D3D1C7"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Expressions of interest open</w:t>
            </w:r>
          </w:p>
        </w:tc>
        <w:tc>
          <w:tcPr>
            <w:tcW w:type="dxa" w:w="4360"/>
            <w:tcBorders>
              <w:top w:val="single" w:color="D3D1C7" w:sz="1"/>
              <w:left w:val="single" w:color="D3D1C7" w:sz="1"/>
              <w:bottom w:val="single" w:color="D3D1C7" w:sz="1"/>
              <w:right w:val="single" w:color="D3D1C7"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Month 0</w:t>
            </w:r>
          </w:p>
        </w:tc>
      </w:tr>
      <w:tr>
        <w:tc>
          <w:tcPr>
            <w:tcW w:type="dxa" w:w="5000"/>
            <w:tcBorders>
              <w:top w:val="single" w:color="D3D1C7" w:sz="1"/>
              <w:left w:val="single" w:color="D3D1C7" w:sz="1"/>
              <w:bottom w:val="single" w:color="D3D1C7" w:sz="1"/>
              <w:right w:val="single" w:color="D3D1C7" w:sz="1"/>
            </w:tcBorders>
            <w:shd w:fill="F1EFE8" w:val="clear"/>
            <w:tcMar>
              <w:top w:type="dxa" w:w="80"/>
              <w:left w:type="dxa" w:w="120"/>
              <w:bottom w:type="dxa" w:w="80"/>
              <w:right w:type="dxa" w:w="120"/>
            </w:tcMar>
          </w:tcPr>
          <w:p>
            <w:r>
              <w:rPr>
                <w:rFonts w:ascii="Arial" w:cs="Arial" w:eastAsia="Arial" w:hAnsi="Arial"/>
                <w:b w:val="false"/>
                <w:bCs w:val="false"/>
                <w:color w:val="1a1a18"/>
                <w:sz w:val="20"/>
                <w:szCs w:val="20"/>
              </w:rPr>
              <w:t xml:space="preserve">Site selection confirmed</w:t>
            </w:r>
          </w:p>
        </w:tc>
        <w:tc>
          <w:tcPr>
            <w:tcW w:type="dxa" w:w="4360"/>
            <w:tcBorders>
              <w:top w:val="single" w:color="D3D1C7" w:sz="1"/>
              <w:left w:val="single" w:color="D3D1C7" w:sz="1"/>
              <w:bottom w:val="single" w:color="D3D1C7" w:sz="1"/>
              <w:right w:val="single" w:color="D3D1C7" w:sz="1"/>
            </w:tcBorders>
            <w:shd w:fill="F1EFE8" w:val="clear"/>
            <w:tcMar>
              <w:top w:type="dxa" w:w="80"/>
              <w:left w:type="dxa" w:w="120"/>
              <w:bottom w:type="dxa" w:w="80"/>
              <w:right w:type="dxa" w:w="120"/>
            </w:tcMar>
          </w:tcPr>
          <w:p>
            <w:r>
              <w:rPr>
                <w:rFonts w:ascii="Arial" w:cs="Arial" w:eastAsia="Arial" w:hAnsi="Arial"/>
                <w:b w:val="false"/>
                <w:bCs w:val="false"/>
                <w:color w:val="1a1a18"/>
                <w:sz w:val="20"/>
                <w:szCs w:val="20"/>
              </w:rPr>
              <w:t xml:space="preserve">Month 1</w:t>
            </w:r>
          </w:p>
        </w:tc>
      </w:tr>
      <w:tr>
        <w:tc>
          <w:tcPr>
            <w:tcW w:type="dxa" w:w="5000"/>
            <w:tcBorders>
              <w:top w:val="single" w:color="D3D1C7" w:sz="1"/>
              <w:left w:val="single" w:color="D3D1C7" w:sz="1"/>
              <w:bottom w:val="single" w:color="D3D1C7" w:sz="1"/>
              <w:right w:val="single" w:color="D3D1C7"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Ethics approvals obtained</w:t>
            </w:r>
          </w:p>
        </w:tc>
        <w:tc>
          <w:tcPr>
            <w:tcW w:type="dxa" w:w="4360"/>
            <w:tcBorders>
              <w:top w:val="single" w:color="D3D1C7" w:sz="1"/>
              <w:left w:val="single" w:color="D3D1C7" w:sz="1"/>
              <w:bottom w:val="single" w:color="D3D1C7" w:sz="1"/>
              <w:right w:val="single" w:color="D3D1C7"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Month 2</w:t>
            </w:r>
          </w:p>
        </w:tc>
      </w:tr>
      <w:tr>
        <w:tc>
          <w:tcPr>
            <w:tcW w:type="dxa" w:w="5000"/>
            <w:tcBorders>
              <w:top w:val="single" w:color="D3D1C7" w:sz="1"/>
              <w:left w:val="single" w:color="D3D1C7" w:sz="1"/>
              <w:bottom w:val="single" w:color="D3D1C7" w:sz="1"/>
              <w:right w:val="single" w:color="D3D1C7" w:sz="1"/>
            </w:tcBorders>
            <w:shd w:fill="F1EFE8" w:val="clear"/>
            <w:tcMar>
              <w:top w:type="dxa" w:w="80"/>
              <w:left w:type="dxa" w:w="120"/>
              <w:bottom w:type="dxa" w:w="80"/>
              <w:right w:type="dxa" w:w="120"/>
            </w:tcMar>
          </w:tcPr>
          <w:p>
            <w:r>
              <w:rPr>
                <w:rFonts w:ascii="Arial" w:cs="Arial" w:eastAsia="Arial" w:hAnsi="Arial"/>
                <w:b w:val="false"/>
                <w:bCs w:val="false"/>
                <w:color w:val="1a1a18"/>
                <w:sz w:val="20"/>
                <w:szCs w:val="20"/>
              </w:rPr>
              <w:t xml:space="preserve">Clinician training complete</w:t>
            </w:r>
          </w:p>
        </w:tc>
        <w:tc>
          <w:tcPr>
            <w:tcW w:type="dxa" w:w="4360"/>
            <w:tcBorders>
              <w:top w:val="single" w:color="D3D1C7" w:sz="1"/>
              <w:left w:val="single" w:color="D3D1C7" w:sz="1"/>
              <w:bottom w:val="single" w:color="D3D1C7" w:sz="1"/>
              <w:right w:val="single" w:color="D3D1C7" w:sz="1"/>
            </w:tcBorders>
            <w:shd w:fill="F1EFE8" w:val="clear"/>
            <w:tcMar>
              <w:top w:type="dxa" w:w="80"/>
              <w:left w:type="dxa" w:w="120"/>
              <w:bottom w:type="dxa" w:w="80"/>
              <w:right w:type="dxa" w:w="120"/>
            </w:tcMar>
          </w:tcPr>
          <w:p>
            <w:r>
              <w:rPr>
                <w:rFonts w:ascii="Arial" w:cs="Arial" w:eastAsia="Arial" w:hAnsi="Arial"/>
                <w:b w:val="false"/>
                <w:bCs w:val="false"/>
                <w:color w:val="1a1a18"/>
                <w:sz w:val="20"/>
                <w:szCs w:val="20"/>
              </w:rPr>
              <w:t xml:space="preserve">Month 2</w:t>
            </w:r>
          </w:p>
        </w:tc>
      </w:tr>
      <w:tr>
        <w:tc>
          <w:tcPr>
            <w:tcW w:type="dxa" w:w="5000"/>
            <w:tcBorders>
              <w:top w:val="single" w:color="D3D1C7" w:sz="1"/>
              <w:left w:val="single" w:color="D3D1C7" w:sz="1"/>
              <w:bottom w:val="single" w:color="D3D1C7" w:sz="1"/>
              <w:right w:val="single" w:color="D3D1C7"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Run-in data collection begins</w:t>
            </w:r>
          </w:p>
        </w:tc>
        <w:tc>
          <w:tcPr>
            <w:tcW w:type="dxa" w:w="4360"/>
            <w:tcBorders>
              <w:top w:val="single" w:color="D3D1C7" w:sz="1"/>
              <w:left w:val="single" w:color="D3D1C7" w:sz="1"/>
              <w:bottom w:val="single" w:color="D3D1C7" w:sz="1"/>
              <w:right w:val="single" w:color="D3D1C7"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Month 2</w:t>
            </w:r>
          </w:p>
        </w:tc>
      </w:tr>
      <w:tr>
        <w:tc>
          <w:tcPr>
            <w:tcW w:type="dxa" w:w="5000"/>
            <w:tcBorders>
              <w:top w:val="single" w:color="D3D1C7" w:sz="1"/>
              <w:left w:val="single" w:color="D3D1C7" w:sz="1"/>
              <w:bottom w:val="single" w:color="D3D1C7" w:sz="1"/>
              <w:right w:val="single" w:color="D3D1C7" w:sz="1"/>
            </w:tcBorders>
            <w:shd w:fill="F1EFE8" w:val="clear"/>
            <w:tcMar>
              <w:top w:type="dxa" w:w="80"/>
              <w:left w:type="dxa" w:w="120"/>
              <w:bottom w:type="dxa" w:w="80"/>
              <w:right w:type="dxa" w:w="120"/>
            </w:tcMar>
          </w:tcPr>
          <w:p>
            <w:r>
              <w:rPr>
                <w:rFonts w:ascii="Arial" w:cs="Arial" w:eastAsia="Arial" w:hAnsi="Arial"/>
                <w:b w:val="false"/>
                <w:bCs w:val="false"/>
                <w:color w:val="1a1a18"/>
                <w:sz w:val="20"/>
                <w:szCs w:val="20"/>
              </w:rPr>
              <w:t xml:space="preserve">Wave 1 tool activation</w:t>
            </w:r>
          </w:p>
        </w:tc>
        <w:tc>
          <w:tcPr>
            <w:tcW w:type="dxa" w:w="4360"/>
            <w:tcBorders>
              <w:top w:val="single" w:color="D3D1C7" w:sz="1"/>
              <w:left w:val="single" w:color="D3D1C7" w:sz="1"/>
              <w:bottom w:val="single" w:color="D3D1C7" w:sz="1"/>
              <w:right w:val="single" w:color="D3D1C7" w:sz="1"/>
            </w:tcBorders>
            <w:shd w:fill="F1EFE8" w:val="clear"/>
            <w:tcMar>
              <w:top w:type="dxa" w:w="80"/>
              <w:left w:type="dxa" w:w="120"/>
              <w:bottom w:type="dxa" w:w="80"/>
              <w:right w:type="dxa" w:w="120"/>
            </w:tcMar>
          </w:tcPr>
          <w:p>
            <w:r>
              <w:rPr>
                <w:rFonts w:ascii="Arial" w:cs="Arial" w:eastAsia="Arial" w:hAnsi="Arial"/>
                <w:b w:val="false"/>
                <w:bCs w:val="false"/>
                <w:color w:val="1a1a18"/>
                <w:sz w:val="20"/>
                <w:szCs w:val="20"/>
              </w:rPr>
              <w:t xml:space="preserve">Month 3</w:t>
            </w:r>
          </w:p>
        </w:tc>
      </w:tr>
      <w:tr>
        <w:tc>
          <w:tcPr>
            <w:tcW w:type="dxa" w:w="5000"/>
            <w:tcBorders>
              <w:top w:val="single" w:color="D3D1C7" w:sz="1"/>
              <w:left w:val="single" w:color="D3D1C7" w:sz="1"/>
              <w:bottom w:val="single" w:color="D3D1C7" w:sz="1"/>
              <w:right w:val="single" w:color="D3D1C7"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Wave 2 tool activation</w:t>
            </w:r>
          </w:p>
        </w:tc>
        <w:tc>
          <w:tcPr>
            <w:tcW w:type="dxa" w:w="4360"/>
            <w:tcBorders>
              <w:top w:val="single" w:color="D3D1C7" w:sz="1"/>
              <w:left w:val="single" w:color="D3D1C7" w:sz="1"/>
              <w:bottom w:val="single" w:color="D3D1C7" w:sz="1"/>
              <w:right w:val="single" w:color="D3D1C7"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Month 5</w:t>
            </w:r>
          </w:p>
        </w:tc>
      </w:tr>
      <w:tr>
        <w:tc>
          <w:tcPr>
            <w:tcW w:type="dxa" w:w="5000"/>
            <w:tcBorders>
              <w:top w:val="single" w:color="D3D1C7" w:sz="1"/>
              <w:left w:val="single" w:color="D3D1C7" w:sz="1"/>
              <w:bottom w:val="single" w:color="D3D1C7" w:sz="1"/>
              <w:right w:val="single" w:color="D3D1C7" w:sz="1"/>
            </w:tcBorders>
            <w:shd w:fill="F1EFE8" w:val="clear"/>
            <w:tcMar>
              <w:top w:type="dxa" w:w="80"/>
              <w:left w:type="dxa" w:w="120"/>
              <w:bottom w:type="dxa" w:w="80"/>
              <w:right w:type="dxa" w:w="120"/>
            </w:tcMar>
          </w:tcPr>
          <w:p>
            <w:r>
              <w:rPr>
                <w:rFonts w:ascii="Arial" w:cs="Arial" w:eastAsia="Arial" w:hAnsi="Arial"/>
                <w:b w:val="false"/>
                <w:bCs w:val="false"/>
                <w:color w:val="1a1a18"/>
                <w:sz w:val="20"/>
                <w:szCs w:val="20"/>
              </w:rPr>
              <w:t xml:space="preserve">Wave 3 tool activation</w:t>
            </w:r>
          </w:p>
        </w:tc>
        <w:tc>
          <w:tcPr>
            <w:tcW w:type="dxa" w:w="4360"/>
            <w:tcBorders>
              <w:top w:val="single" w:color="D3D1C7" w:sz="1"/>
              <w:left w:val="single" w:color="D3D1C7" w:sz="1"/>
              <w:bottom w:val="single" w:color="D3D1C7" w:sz="1"/>
              <w:right w:val="single" w:color="D3D1C7" w:sz="1"/>
            </w:tcBorders>
            <w:shd w:fill="F1EFE8" w:val="clear"/>
            <w:tcMar>
              <w:top w:type="dxa" w:w="80"/>
              <w:left w:type="dxa" w:w="120"/>
              <w:bottom w:type="dxa" w:w="80"/>
              <w:right w:type="dxa" w:w="120"/>
            </w:tcMar>
          </w:tcPr>
          <w:p>
            <w:r>
              <w:rPr>
                <w:rFonts w:ascii="Arial" w:cs="Arial" w:eastAsia="Arial" w:hAnsi="Arial"/>
                <w:b w:val="false"/>
                <w:bCs w:val="false"/>
                <w:color w:val="1a1a18"/>
                <w:sz w:val="20"/>
                <w:szCs w:val="20"/>
              </w:rPr>
              <w:t xml:space="preserve">Month 7</w:t>
            </w:r>
          </w:p>
        </w:tc>
      </w:tr>
      <w:tr>
        <w:tc>
          <w:tcPr>
            <w:tcW w:type="dxa" w:w="5000"/>
            <w:tcBorders>
              <w:top w:val="single" w:color="D3D1C7" w:sz="1"/>
              <w:left w:val="single" w:color="D3D1C7" w:sz="1"/>
              <w:bottom w:val="single" w:color="D3D1C7" w:sz="1"/>
              <w:right w:val="single" w:color="D3D1C7"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Data collection closes</w:t>
            </w:r>
          </w:p>
        </w:tc>
        <w:tc>
          <w:tcPr>
            <w:tcW w:type="dxa" w:w="4360"/>
            <w:tcBorders>
              <w:top w:val="single" w:color="D3D1C7" w:sz="1"/>
              <w:left w:val="single" w:color="D3D1C7" w:sz="1"/>
              <w:bottom w:val="single" w:color="D3D1C7" w:sz="1"/>
              <w:right w:val="single" w:color="D3D1C7"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Month 8</w:t>
            </w:r>
          </w:p>
        </w:tc>
      </w:tr>
      <w:tr>
        <w:tc>
          <w:tcPr>
            <w:tcW w:type="dxa" w:w="5000"/>
            <w:tcBorders>
              <w:top w:val="single" w:color="D3D1C7" w:sz="1"/>
              <w:left w:val="single" w:color="D3D1C7" w:sz="1"/>
              <w:bottom w:val="single" w:color="D3D1C7" w:sz="1"/>
              <w:right w:val="single" w:color="D3D1C7" w:sz="1"/>
            </w:tcBorders>
            <w:shd w:fill="F1EFE8" w:val="clear"/>
            <w:tcMar>
              <w:top w:type="dxa" w:w="80"/>
              <w:left w:type="dxa" w:w="120"/>
              <w:bottom w:type="dxa" w:w="80"/>
              <w:right w:type="dxa" w:w="120"/>
            </w:tcMar>
          </w:tcPr>
          <w:p>
            <w:r>
              <w:rPr>
                <w:rFonts w:ascii="Arial" w:cs="Arial" w:eastAsia="Arial" w:hAnsi="Arial"/>
                <w:b w:val="false"/>
                <w:bCs w:val="false"/>
                <w:color w:val="1a1a18"/>
                <w:sz w:val="20"/>
                <w:szCs w:val="20"/>
              </w:rPr>
              <w:t xml:space="preserve">Primary analysis complete</w:t>
            </w:r>
          </w:p>
        </w:tc>
        <w:tc>
          <w:tcPr>
            <w:tcW w:type="dxa" w:w="4360"/>
            <w:tcBorders>
              <w:top w:val="single" w:color="D3D1C7" w:sz="1"/>
              <w:left w:val="single" w:color="D3D1C7" w:sz="1"/>
              <w:bottom w:val="single" w:color="D3D1C7" w:sz="1"/>
              <w:right w:val="single" w:color="D3D1C7" w:sz="1"/>
            </w:tcBorders>
            <w:shd w:fill="F1EFE8" w:val="clear"/>
            <w:tcMar>
              <w:top w:type="dxa" w:w="80"/>
              <w:left w:type="dxa" w:w="120"/>
              <w:bottom w:type="dxa" w:w="80"/>
              <w:right w:type="dxa" w:w="120"/>
            </w:tcMar>
          </w:tcPr>
          <w:p>
            <w:r>
              <w:rPr>
                <w:rFonts w:ascii="Arial" w:cs="Arial" w:eastAsia="Arial" w:hAnsi="Arial"/>
                <w:b w:val="false"/>
                <w:bCs w:val="false"/>
                <w:color w:val="1a1a18"/>
                <w:sz w:val="20"/>
                <w:szCs w:val="20"/>
              </w:rPr>
              <w:t xml:space="preserve">Month 10</w:t>
            </w:r>
          </w:p>
        </w:tc>
      </w:tr>
      <w:tr>
        <w:tc>
          <w:tcPr>
            <w:tcW w:type="dxa" w:w="5000"/>
            <w:tcBorders>
              <w:top w:val="single" w:color="D3D1C7" w:sz="1"/>
              <w:left w:val="single" w:color="D3D1C7" w:sz="1"/>
              <w:bottom w:val="single" w:color="D3D1C7" w:sz="1"/>
              <w:right w:val="single" w:color="D3D1C7"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Manuscript submitted</w:t>
            </w:r>
          </w:p>
        </w:tc>
        <w:tc>
          <w:tcPr>
            <w:tcW w:type="dxa" w:w="4360"/>
            <w:tcBorders>
              <w:top w:val="single" w:color="D3D1C7" w:sz="1"/>
              <w:left w:val="single" w:color="D3D1C7" w:sz="1"/>
              <w:bottom w:val="single" w:color="D3D1C7" w:sz="1"/>
              <w:right w:val="single" w:color="D3D1C7"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Month 12</w:t>
            </w:r>
          </w:p>
        </w:tc>
      </w:tr>
    </w:tbl>
    <w:p>
      <w:pPr>
        <w:spacing w:after="0" w:before="120"/>
      </w:pPr>
      <w:r>
        <w:t xml:space="preserve"/>
      </w:r>
    </w:p>
    <w:p>
      <w:pPr>
        <w:pStyle w:val="Heading1"/>
        <w:pBdr>
          <w:bottom w:val="single" w:color="639922" w:sz="4" w:space="4"/>
        </w:pBdr>
        <w:spacing w:after="120" w:before="360"/>
      </w:pPr>
      <w:r>
        <w:rPr>
          <w:rFonts w:ascii="Arial" w:cs="Arial" w:eastAsia="Arial" w:hAnsi="Arial"/>
          <w:b/>
          <w:bCs/>
          <w:color w:val="27500A"/>
          <w:sz w:val="28"/>
          <w:szCs w:val="28"/>
        </w:rPr>
        <w:t xml:space="preserve">14. Contact and expressions of interest</w:t>
      </w:r>
    </w:p>
    <w:p>
      <w:pPr>
        <w:spacing w:after="100" w:before="60"/>
      </w:pPr>
      <w:r>
        <w:rPr>
          <w:rFonts w:ascii="Arial" w:cs="Arial" w:eastAsia="Arial" w:hAnsi="Arial"/>
          <w:color w:val="1a1a18"/>
          <w:sz w:val="22"/>
          <w:szCs w:val="22"/>
        </w:rPr>
        <w:t xml:space="preserve">Clinics and clinicians interested in participating as inaugural trial partners are invited to complete the expression of interest form at https://healthhorizon.io/eoi or contact the study team at:</w:t>
      </w:r>
    </w:p>
    <w:p>
      <w:pPr>
        <w:spacing w:after="0" w:before="60"/>
      </w:pPr>
      <w:r>
        <w:t xml:space="preserve"/>
      </w:r>
    </w:p>
    <w:p>
      <w:pPr>
        <w:spacing w:after="100" w:before="60"/>
      </w:pPr>
      <w:r>
        <w:rPr>
          <w:rFonts w:ascii="Arial" w:cs="Arial" w:eastAsia="Arial" w:hAnsi="Arial"/>
          <w:b/>
          <w:bCs/>
          <w:color w:val="1a1a18"/>
          <w:sz w:val="22"/>
          <w:szCs w:val="22"/>
        </w:rPr>
        <w:t xml:space="preserve">Health Horizon Trial Study Team</w:t>
      </w:r>
    </w:p>
    <w:p>
      <w:pPr>
        <w:spacing w:after="100" w:before="60"/>
      </w:pPr>
      <w:r>
        <w:rPr>
          <w:rFonts w:ascii="Arial" w:cs="Arial" w:eastAsia="Arial" w:hAnsi="Arial"/>
          <w:color w:val="1a1a18"/>
          <w:sz w:val="22"/>
          <w:szCs w:val="22"/>
        </w:rPr>
        <w:t xml:space="preserve">Email: aaron@healthhorizon.io</w:t>
      </w:r>
    </w:p>
    <w:p>
      <w:pPr>
        <w:spacing w:after="100" w:before="60"/>
      </w:pPr>
      <w:r>
        <w:rPr>
          <w:rFonts w:ascii="Arial" w:cs="Arial" w:eastAsia="Arial" w:hAnsi="Arial"/>
          <w:color w:val="1a1a18"/>
          <w:sz w:val="22"/>
          <w:szCs w:val="22"/>
        </w:rPr>
        <w:t xml:space="preserve">Web: healthhorizon.io</w:t>
      </w:r>
    </w:p>
    <w:p>
      <w:pPr>
        <w:spacing w:after="0" w:before="60"/>
      </w:pPr>
      <w:r>
        <w:t xml:space="preserve"/>
      </w:r>
    </w:p>
    <w:p>
      <w:pPr>
        <w:spacing w:after="100" w:before="60"/>
      </w:pPr>
      <w:r>
        <w:rPr>
          <w:rFonts w:ascii="Arial" w:cs="Arial" w:eastAsia="Arial" w:hAnsi="Arial"/>
          <w:color w:val="1a1a18"/>
          <w:sz w:val="22"/>
          <w:szCs w:val="22"/>
        </w:rPr>
        <w:t xml:space="preserve">Expressions of interest will be reviewed on a rolling basis. The inaugural cohort is limited to 15 sites. Priority will be given to sites with research infrastructure, a commitment to patient-centred care, and diversity of practice setting and geography.</w:t>
      </w:r>
    </w:p>
    <w:p>
      <w:pPr>
        <w:spacing w:after="0" w:before="120"/>
      </w:pPr>
      <w:r>
        <w:t xml:space="preserve"/>
      </w:r>
    </w:p>
    <w:p>
      <w:pPr>
        <w:pBdr>
          <w:top w:val="single" w:color="D3D1C7" w:sz="2" w:space="6"/>
        </w:pBdr>
        <w:spacing w:after="60" w:before="120"/>
      </w:pPr>
      <w:r>
        <w:rPr>
          <w:rFonts w:ascii="Arial" w:cs="Arial" w:eastAsia="Arial" w:hAnsi="Arial"/>
          <w:b/>
          <w:bCs/>
          <w:color w:val="444441"/>
          <w:sz w:val="20"/>
          <w:szCs w:val="20"/>
        </w:rPr>
        <w:t xml:space="preserve">Disclaimer</w:t>
      </w:r>
    </w:p>
    <w:p>
      <w:pPr>
        <w:spacing w:after="60" w:before="0"/>
      </w:pPr>
      <w:r>
        <w:rPr>
          <w:rFonts w:ascii="Arial" w:cs="Arial" w:eastAsia="Arial" w:hAnsi="Arial"/>
          <w:i/>
          <w:iCs/>
          <w:color w:val="444441"/>
          <w:sz w:val="18"/>
          <w:szCs w:val="18"/>
        </w:rPr>
        <w:t xml:space="preserve">Life expectancy estimates used in the Health Horizon Conversation Tool are based on US population averages and simplified epidemiological impact models derived from published literature. They are intended as illustrative conversation aids and are not clinical predictions for individual patients. Clinicians are encouraged to contextualise estimates using their knowledge of each patient's individual medical history and circumstances.</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3D1C7" w:sz="2" w:space="4"/>
      </w:pBdr>
      <w:tabs>
        <w:tab w:val="right" w:pos="9026"/>
      </w:tabs>
    </w:pPr>
    <w:r>
      <w:rPr>
        <w:rFonts w:ascii="Arial" w:cs="Arial" w:eastAsia="Arial" w:hAnsi="Arial"/>
        <w:color w:val="444441"/>
        <w:sz w:val="16"/>
        <w:szCs w:val="16"/>
      </w:rPr>
      <w:t xml:space="preserve">Confidential — for trial partner use only</w:t>
    </w:r>
    <w:r>
      <w:rPr>
        <w:rFonts w:ascii="Arial" w:cs="Arial" w:eastAsia="Arial" w:hAnsi="Arial"/>
        <w:color w:val="444441"/>
        <w:sz w:val="16"/>
        <w:szCs w:val="16"/>
      </w:rPr>
      <w:t xml:space="preserve">	Page </w:t>
    </w:r>
    <w:r>
      <w:rPr>
        <w:rFonts w:ascii="Arial" w:cs="Arial" w:eastAsia="Arial" w:hAnsi="Arial"/>
        <w:color w:val="444441"/>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639922" w:sz="4" w:space="4"/>
      </w:pBdr>
      <w:tabs>
        <w:tab w:val="right" w:pos="9026"/>
      </w:tabs>
    </w:pPr>
    <w:r>
      <w:rPr>
        <w:rFonts w:ascii="Arial" w:cs="Arial" w:eastAsia="Arial" w:hAnsi="Arial"/>
        <w:b/>
        <w:bCs/>
        <w:color w:val="27500A"/>
        <w:sz w:val="18"/>
        <w:szCs w:val="18"/>
      </w:rPr>
      <w:t xml:space="preserve">Health Horizon Conversation Tool</w:t>
    </w:r>
    <w:r>
      <w:rPr>
        <w:rFonts w:ascii="Arial" w:cs="Arial" w:eastAsia="Arial" w:hAnsi="Arial"/>
        <w:sz w:val="18"/>
        <w:szCs w:val="18"/>
      </w:rPr>
      <w:t xml:space="preserve">	</w:t>
    </w:r>
    <w:r>
      <w:rPr>
        <w:rFonts w:ascii="Arial" w:cs="Arial" w:eastAsia="Arial" w:hAnsi="Arial"/>
        <w:color w:val="444441"/>
        <w:sz w:val="18"/>
        <w:szCs w:val="18"/>
      </w:rPr>
      <w:t xml:space="preserve">Trial Study Protocol —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27500A"/>
      <w:sz w:val="28"/>
      <w:szCs w:val="28"/>
    </w:rPr>
  </w:style>
  <w:style w:type="paragraph" w:styleId="Heading2">
    <w:name w:val="Heading 2"/>
    <w:basedOn w:val="Normal"/>
    <w:next w:val="Normal"/>
    <w:qFormat/>
    <w:pPr>
      <w:spacing w:after="80" w:before="240"/>
      <w:outlineLvl w:val="1"/>
    </w:pPr>
    <w:rPr>
      <w:rFonts w:ascii="Arial" w:cs="Arial" w:eastAsia="Arial" w:hAnsi="Arial"/>
      <w:b/>
      <w:bCs/>
      <w:color w:val="27500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2026-04-16T11:11:38.827Z</dcterms:created>
  <dcterms:modified xsi:type="dcterms:W3CDTF">2026-04-16T11:11:38.828Z</dcterms:modified>
</cp:coreProperties>
</file>

<file path=docProps/custom.xml><?xml version="1.0" encoding="utf-8"?>
<Properties xmlns="http://schemas.openxmlformats.org/officeDocument/2006/custom-properties" xmlns:vt="http://schemas.openxmlformats.org/officeDocument/2006/docPropsVTypes"/>
</file>